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2289A" w14:textId="77777777" w:rsidR="0010234C"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DETERMINATION AND FINDINGS</w:t>
      </w:r>
    </w:p>
    <w:p w14:paraId="0F1C562B" w14:textId="77777777" w:rsidR="00976263"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FOR</w:t>
      </w:r>
    </w:p>
    <w:p w14:paraId="4D226844" w14:textId="77777777" w:rsidR="00976263" w:rsidRPr="00E35977" w:rsidRDefault="00976263" w:rsidP="00976263">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SOLE SOURCE PROCUREMENT</w:t>
      </w:r>
    </w:p>
    <w:p w14:paraId="3C06DED5" w14:textId="77777777" w:rsidR="00976263" w:rsidRPr="00E35977" w:rsidRDefault="00976263" w:rsidP="00976263">
      <w:pPr>
        <w:spacing w:line="240" w:lineRule="auto"/>
        <w:contextualSpacing/>
        <w:jc w:val="center"/>
        <w:rPr>
          <w:rFonts w:ascii="Times New Roman" w:hAnsi="Times New Roman" w:cs="Times New Roman"/>
          <w:b/>
          <w:sz w:val="24"/>
          <w:szCs w:val="24"/>
        </w:rPr>
      </w:pPr>
    </w:p>
    <w:p w14:paraId="6E9F5AF5" w14:textId="77777777" w:rsidR="00976263" w:rsidRPr="00E35977" w:rsidRDefault="00976263" w:rsidP="00976263">
      <w:pPr>
        <w:spacing w:line="240" w:lineRule="auto"/>
        <w:contextualSpacing/>
        <w:rPr>
          <w:rFonts w:ascii="Times New Roman" w:hAnsi="Times New Roman" w:cs="Times New Roman"/>
          <w:b/>
          <w:sz w:val="24"/>
          <w:szCs w:val="24"/>
          <w:u w:val="single"/>
        </w:rPr>
      </w:pPr>
      <w:r w:rsidRPr="00E35977">
        <w:rPr>
          <w:rFonts w:ascii="Times New Roman" w:hAnsi="Times New Roman" w:cs="Times New Roman"/>
          <w:sz w:val="24"/>
          <w:szCs w:val="24"/>
        </w:rPr>
        <w:t xml:space="preserve">1.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Authorization</w:t>
      </w:r>
      <w:r w:rsidR="00A56BA9" w:rsidRPr="00E35977">
        <w:rPr>
          <w:rStyle w:val="EndnoteReference"/>
          <w:rFonts w:ascii="Times New Roman" w:hAnsi="Times New Roman" w:cs="Times New Roman"/>
          <w:b/>
          <w:sz w:val="24"/>
          <w:szCs w:val="24"/>
          <w:u w:val="single"/>
        </w:rPr>
        <w:endnoteReference w:id="1"/>
      </w:r>
    </w:p>
    <w:p w14:paraId="72715114"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D.C. Code § 34-801</w:t>
      </w:r>
    </w:p>
    <w:p w14:paraId="004051A6"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D.C. Code § 34-804</w:t>
      </w:r>
    </w:p>
    <w:p w14:paraId="3E88F7A4" w14:textId="77777777" w:rsidR="00976263" w:rsidRPr="00E35977" w:rsidRDefault="00976263" w:rsidP="00976263">
      <w:pPr>
        <w:pStyle w:val="ListParagraph"/>
        <w:numPr>
          <w:ilvl w:val="0"/>
          <w:numId w:val="1"/>
        </w:numPr>
        <w:spacing w:line="240" w:lineRule="auto"/>
        <w:rPr>
          <w:rFonts w:ascii="Times New Roman" w:hAnsi="Times New Roman" w:cs="Times New Roman"/>
          <w:sz w:val="24"/>
          <w:szCs w:val="24"/>
        </w:rPr>
      </w:pPr>
      <w:r w:rsidRPr="00E35977">
        <w:rPr>
          <w:rFonts w:ascii="Times New Roman" w:hAnsi="Times New Roman" w:cs="Times New Roman"/>
          <w:sz w:val="24"/>
          <w:szCs w:val="24"/>
        </w:rPr>
        <w:t>15 D.C.M.R. § 3700</w:t>
      </w:r>
    </w:p>
    <w:p w14:paraId="27911A1C" w14:textId="77777777" w:rsidR="00976263" w:rsidRPr="00E35977" w:rsidRDefault="00976263"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 xml:space="preserve">2.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Minimum Need</w:t>
      </w:r>
    </w:p>
    <w:p w14:paraId="04A369A2" w14:textId="1D125E99" w:rsidR="003C6794" w:rsidRDefault="00976263" w:rsidP="0085524E">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The Office of the People’s Counsel </w:t>
      </w:r>
      <w:r w:rsidR="00E76619">
        <w:rPr>
          <w:rFonts w:ascii="Times New Roman" w:hAnsi="Times New Roman" w:cs="Times New Roman"/>
          <w:sz w:val="24"/>
          <w:szCs w:val="24"/>
        </w:rPr>
        <w:t xml:space="preserve">for the District of Columbia </w:t>
      </w:r>
      <w:r w:rsidR="004920DE" w:rsidRPr="00E35977">
        <w:rPr>
          <w:rFonts w:ascii="Times New Roman" w:hAnsi="Times New Roman" w:cs="Times New Roman"/>
          <w:sz w:val="24"/>
          <w:szCs w:val="24"/>
        </w:rPr>
        <w:t xml:space="preserve">(“OPC” or “Office”) </w:t>
      </w:r>
      <w:r w:rsidRPr="00E35977">
        <w:rPr>
          <w:rFonts w:ascii="Times New Roman" w:hAnsi="Times New Roman" w:cs="Times New Roman"/>
          <w:sz w:val="24"/>
          <w:szCs w:val="24"/>
        </w:rPr>
        <w:t>requests the serv</w:t>
      </w:r>
      <w:r w:rsidR="003C6794" w:rsidRPr="00E35977">
        <w:rPr>
          <w:rFonts w:ascii="Times New Roman" w:hAnsi="Times New Roman" w:cs="Times New Roman"/>
          <w:sz w:val="24"/>
          <w:szCs w:val="24"/>
        </w:rPr>
        <w:t xml:space="preserve">ices of </w:t>
      </w:r>
      <w:r w:rsidR="00222F71">
        <w:rPr>
          <w:rFonts w:ascii="Times New Roman" w:hAnsi="Times New Roman" w:cs="Times New Roman"/>
          <w:sz w:val="24"/>
          <w:szCs w:val="24"/>
        </w:rPr>
        <w:t>Spiegel &amp; McDiarmid</w:t>
      </w:r>
      <w:r w:rsidR="003C6794" w:rsidRPr="00E35977">
        <w:rPr>
          <w:rFonts w:ascii="Times New Roman" w:hAnsi="Times New Roman" w:cs="Times New Roman"/>
          <w:sz w:val="24"/>
          <w:szCs w:val="24"/>
        </w:rPr>
        <w:t xml:space="preserve"> in </w:t>
      </w:r>
      <w:r w:rsidR="00222F71">
        <w:rPr>
          <w:rFonts w:ascii="Times New Roman" w:hAnsi="Times New Roman" w:cs="Times New Roman"/>
          <w:sz w:val="24"/>
          <w:szCs w:val="24"/>
        </w:rPr>
        <w:t>FERC Docket No. AD24-6-000</w:t>
      </w:r>
      <w:r w:rsidR="00E73B97">
        <w:rPr>
          <w:rFonts w:ascii="Times New Roman" w:hAnsi="Times New Roman" w:cs="Times New Roman"/>
          <w:sz w:val="24"/>
          <w:szCs w:val="24"/>
        </w:rPr>
        <w:t xml:space="preserve"> for </w:t>
      </w:r>
      <w:r w:rsidR="006252E7">
        <w:rPr>
          <w:rFonts w:ascii="Times New Roman" w:hAnsi="Times New Roman" w:cs="Times New Roman"/>
          <w:sz w:val="24"/>
          <w:szCs w:val="24"/>
        </w:rPr>
        <w:t>F</w:t>
      </w:r>
      <w:r w:rsidR="00E73B97">
        <w:rPr>
          <w:rFonts w:ascii="Times New Roman" w:hAnsi="Times New Roman" w:cs="Times New Roman"/>
          <w:sz w:val="24"/>
          <w:szCs w:val="24"/>
        </w:rPr>
        <w:t xml:space="preserve">iscal </w:t>
      </w:r>
      <w:r w:rsidR="006252E7">
        <w:rPr>
          <w:rFonts w:ascii="Times New Roman" w:hAnsi="Times New Roman" w:cs="Times New Roman"/>
          <w:sz w:val="24"/>
          <w:szCs w:val="24"/>
        </w:rPr>
        <w:t>Y</w:t>
      </w:r>
      <w:r w:rsidR="00E73B97">
        <w:rPr>
          <w:rFonts w:ascii="Times New Roman" w:hAnsi="Times New Roman" w:cs="Times New Roman"/>
          <w:sz w:val="24"/>
          <w:szCs w:val="24"/>
        </w:rPr>
        <w:t>ear 202</w:t>
      </w:r>
      <w:r w:rsidR="00584543">
        <w:rPr>
          <w:rFonts w:ascii="Times New Roman" w:hAnsi="Times New Roman" w:cs="Times New Roman"/>
          <w:sz w:val="24"/>
          <w:szCs w:val="24"/>
        </w:rPr>
        <w:t>4</w:t>
      </w:r>
      <w:r w:rsidR="003C6794" w:rsidRPr="00E35977">
        <w:rPr>
          <w:rFonts w:ascii="Times New Roman" w:hAnsi="Times New Roman" w:cs="Times New Roman"/>
          <w:sz w:val="24"/>
          <w:szCs w:val="24"/>
        </w:rPr>
        <w:t xml:space="preserve">. </w:t>
      </w:r>
      <w:r w:rsidR="00222F71">
        <w:rPr>
          <w:rFonts w:ascii="Times New Roman" w:hAnsi="Times New Roman" w:cs="Times New Roman"/>
          <w:sz w:val="24"/>
          <w:szCs w:val="24"/>
        </w:rPr>
        <w:t xml:space="preserve">Spiegel &amp; McDiarmid will assist OPC in filing initial and reply comments in a “Notice of Inquiry” (NOI) proceeding initiated by the </w:t>
      </w:r>
      <w:r w:rsidR="004920DE">
        <w:rPr>
          <w:rFonts w:ascii="Times New Roman" w:hAnsi="Times New Roman" w:cs="Times New Roman"/>
          <w:sz w:val="24"/>
          <w:szCs w:val="24"/>
        </w:rPr>
        <w:t>Federal Energy Regulatory Commi</w:t>
      </w:r>
      <w:r w:rsidR="003C006C">
        <w:rPr>
          <w:rFonts w:ascii="Times New Roman" w:hAnsi="Times New Roman" w:cs="Times New Roman"/>
          <w:sz w:val="24"/>
          <w:szCs w:val="24"/>
        </w:rPr>
        <w:t>ssion</w:t>
      </w:r>
      <w:r w:rsidR="004920DE">
        <w:rPr>
          <w:rFonts w:ascii="Times New Roman" w:hAnsi="Times New Roman" w:cs="Times New Roman"/>
          <w:sz w:val="24"/>
          <w:szCs w:val="24"/>
        </w:rPr>
        <w:t xml:space="preserve"> (“</w:t>
      </w:r>
      <w:r w:rsidR="00DF4629">
        <w:rPr>
          <w:rFonts w:ascii="Times New Roman" w:hAnsi="Times New Roman" w:cs="Times New Roman"/>
          <w:sz w:val="24"/>
          <w:szCs w:val="24"/>
        </w:rPr>
        <w:t>FERC</w:t>
      </w:r>
      <w:r w:rsidR="004920DE">
        <w:rPr>
          <w:rFonts w:ascii="Times New Roman" w:hAnsi="Times New Roman" w:cs="Times New Roman"/>
          <w:sz w:val="24"/>
          <w:szCs w:val="24"/>
        </w:rPr>
        <w:t>”)</w:t>
      </w:r>
      <w:r w:rsidR="00222F71">
        <w:rPr>
          <w:rFonts w:ascii="Times New Roman" w:hAnsi="Times New Roman" w:cs="Times New Roman"/>
          <w:sz w:val="24"/>
          <w:szCs w:val="24"/>
        </w:rPr>
        <w:t xml:space="preserve"> concerning its policy of granting blanket authorizations for investment company transactions subject to Federal Power Act (FPA) section 203(a)(2).</w:t>
      </w:r>
      <w:r w:rsidR="003C6794" w:rsidRPr="00E35977">
        <w:rPr>
          <w:rFonts w:ascii="Times New Roman" w:hAnsi="Times New Roman" w:cs="Times New Roman"/>
          <w:sz w:val="24"/>
          <w:szCs w:val="24"/>
        </w:rPr>
        <w:t xml:space="preserve"> The second </w:t>
      </w:r>
      <w:r w:rsidR="00F13BC2" w:rsidRPr="00E35977">
        <w:rPr>
          <w:rFonts w:ascii="Times New Roman" w:hAnsi="Times New Roman" w:cs="Times New Roman"/>
          <w:sz w:val="24"/>
          <w:szCs w:val="24"/>
        </w:rPr>
        <w:t xml:space="preserve">task or track </w:t>
      </w:r>
      <w:r w:rsidR="003C6794" w:rsidRPr="00E35977">
        <w:rPr>
          <w:rFonts w:ascii="Times New Roman" w:hAnsi="Times New Roman" w:cs="Times New Roman"/>
          <w:sz w:val="24"/>
          <w:szCs w:val="24"/>
        </w:rPr>
        <w:t xml:space="preserve">involves </w:t>
      </w:r>
      <w:r w:rsidR="00F13BC2" w:rsidRPr="00E35977">
        <w:rPr>
          <w:rFonts w:ascii="Times New Roman" w:hAnsi="Times New Roman" w:cs="Times New Roman"/>
          <w:sz w:val="24"/>
          <w:szCs w:val="24"/>
        </w:rPr>
        <w:t>projects specifically</w:t>
      </w:r>
      <w:r w:rsidR="003C6794" w:rsidRPr="00E35977">
        <w:rPr>
          <w:rFonts w:ascii="Times New Roman" w:hAnsi="Times New Roman" w:cs="Times New Roman"/>
          <w:sz w:val="24"/>
          <w:szCs w:val="24"/>
        </w:rPr>
        <w:t xml:space="preserve"> requested by OPC</w:t>
      </w:r>
      <w:r w:rsidR="00F13BC2" w:rsidRPr="00E35977">
        <w:rPr>
          <w:rFonts w:ascii="Times New Roman" w:hAnsi="Times New Roman" w:cs="Times New Roman"/>
          <w:sz w:val="24"/>
          <w:szCs w:val="24"/>
        </w:rPr>
        <w:t>, as needed</w:t>
      </w:r>
      <w:r w:rsidR="003C6794" w:rsidRPr="00E35977">
        <w:rPr>
          <w:rFonts w:ascii="Times New Roman" w:hAnsi="Times New Roman" w:cs="Times New Roman"/>
          <w:sz w:val="24"/>
          <w:szCs w:val="24"/>
        </w:rPr>
        <w:t>.</w:t>
      </w:r>
    </w:p>
    <w:p w14:paraId="02FBA14A" w14:textId="77777777" w:rsidR="000B0717" w:rsidRDefault="000B0717" w:rsidP="0085524E">
      <w:pPr>
        <w:spacing w:line="240" w:lineRule="auto"/>
        <w:jc w:val="both"/>
        <w:rPr>
          <w:rFonts w:ascii="Times New Roman" w:hAnsi="Times New Roman" w:cs="Times New Roman"/>
          <w:sz w:val="24"/>
          <w:szCs w:val="24"/>
        </w:rPr>
      </w:pPr>
    </w:p>
    <w:p w14:paraId="0C182DF1" w14:textId="77777777" w:rsidR="00976263" w:rsidRPr="00E35977" w:rsidRDefault="00976263"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 xml:space="preserve">3.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Estimated Fair and Reasonable Price</w:t>
      </w:r>
    </w:p>
    <w:p w14:paraId="16A731F9" w14:textId="60ECA0BD" w:rsidR="00FF329F" w:rsidRDefault="00F13BC2" w:rsidP="0085524E">
      <w:pPr>
        <w:spacing w:line="240" w:lineRule="auto"/>
        <w:ind w:firstLine="720"/>
        <w:jc w:val="both"/>
        <w:rPr>
          <w:rFonts w:ascii="Times New Roman" w:hAnsi="Times New Roman" w:cs="Times New Roman"/>
          <w:sz w:val="24"/>
          <w:szCs w:val="24"/>
        </w:rPr>
      </w:pPr>
      <w:r w:rsidRPr="00E35977">
        <w:rPr>
          <w:rFonts w:ascii="Times New Roman" w:hAnsi="Times New Roman" w:cs="Times New Roman"/>
          <w:sz w:val="24"/>
          <w:szCs w:val="24"/>
        </w:rPr>
        <w:t>The total cont</w:t>
      </w:r>
      <w:r w:rsidR="00BF07FD">
        <w:rPr>
          <w:rFonts w:ascii="Times New Roman" w:hAnsi="Times New Roman" w:cs="Times New Roman"/>
          <w:sz w:val="24"/>
          <w:szCs w:val="24"/>
        </w:rPr>
        <w:t xml:space="preserve">ract </w:t>
      </w:r>
      <w:r w:rsidR="002B5ECA">
        <w:rPr>
          <w:rFonts w:ascii="Times New Roman" w:hAnsi="Times New Roman" w:cs="Times New Roman"/>
          <w:sz w:val="24"/>
          <w:szCs w:val="24"/>
        </w:rPr>
        <w:t>not–to–exceed</w:t>
      </w:r>
      <w:r w:rsidR="00BF07FD">
        <w:rPr>
          <w:rFonts w:ascii="Times New Roman" w:hAnsi="Times New Roman" w:cs="Times New Roman"/>
          <w:sz w:val="24"/>
          <w:szCs w:val="24"/>
        </w:rPr>
        <w:t xml:space="preserve"> price is </w:t>
      </w:r>
      <w:r w:rsidR="00BF07FD" w:rsidRPr="00E76619">
        <w:rPr>
          <w:rFonts w:ascii="Times New Roman" w:hAnsi="Times New Roman" w:cs="Times New Roman"/>
          <w:b/>
          <w:bCs/>
          <w:sz w:val="24"/>
          <w:szCs w:val="24"/>
          <w:u w:val="single"/>
        </w:rPr>
        <w:t>$</w:t>
      </w:r>
      <w:r w:rsidR="00222F71">
        <w:rPr>
          <w:rFonts w:ascii="Times New Roman" w:hAnsi="Times New Roman" w:cs="Times New Roman"/>
          <w:b/>
          <w:bCs/>
          <w:sz w:val="24"/>
          <w:szCs w:val="24"/>
          <w:u w:val="single"/>
        </w:rPr>
        <w:t>60</w:t>
      </w:r>
      <w:r w:rsidRPr="00E76619">
        <w:rPr>
          <w:rFonts w:ascii="Times New Roman" w:hAnsi="Times New Roman" w:cs="Times New Roman"/>
          <w:b/>
          <w:bCs/>
          <w:sz w:val="24"/>
          <w:szCs w:val="24"/>
          <w:u w:val="single"/>
        </w:rPr>
        <w:t>,000</w:t>
      </w:r>
      <w:r w:rsidRPr="00E35977">
        <w:rPr>
          <w:rFonts w:ascii="Times New Roman" w:hAnsi="Times New Roman" w:cs="Times New Roman"/>
          <w:sz w:val="24"/>
          <w:szCs w:val="24"/>
        </w:rPr>
        <w:t xml:space="preserve">. This </w:t>
      </w:r>
      <w:r w:rsidR="0056363A" w:rsidRPr="00E35977">
        <w:rPr>
          <w:rFonts w:ascii="Times New Roman" w:hAnsi="Times New Roman" w:cs="Times New Roman"/>
          <w:sz w:val="24"/>
          <w:szCs w:val="24"/>
        </w:rPr>
        <w:t xml:space="preserve">contract </w:t>
      </w:r>
      <w:r w:rsidRPr="00E35977">
        <w:rPr>
          <w:rFonts w:ascii="Times New Roman" w:hAnsi="Times New Roman" w:cs="Times New Roman"/>
          <w:sz w:val="24"/>
          <w:szCs w:val="24"/>
        </w:rPr>
        <w:t xml:space="preserve">price is allocated </w:t>
      </w:r>
      <w:r w:rsidR="0056363A" w:rsidRPr="00E35977">
        <w:rPr>
          <w:rFonts w:ascii="Times New Roman" w:hAnsi="Times New Roman" w:cs="Times New Roman"/>
          <w:sz w:val="24"/>
          <w:szCs w:val="24"/>
        </w:rPr>
        <w:t>for</w:t>
      </w:r>
      <w:r w:rsidR="00A8278B">
        <w:rPr>
          <w:rFonts w:ascii="Times New Roman" w:hAnsi="Times New Roman" w:cs="Times New Roman"/>
          <w:sz w:val="24"/>
          <w:szCs w:val="24"/>
        </w:rPr>
        <w:t xml:space="preserve"> filing comments jointly on behalf of OPC, the New Jersey Rate Counsel and the Maryland Office of the People’s Counsel, each entity will be charged $20,000.</w:t>
      </w:r>
      <w:r w:rsidR="0056363A" w:rsidRPr="00E35977">
        <w:rPr>
          <w:rFonts w:ascii="Times New Roman" w:hAnsi="Times New Roman" w:cs="Times New Roman"/>
          <w:sz w:val="24"/>
          <w:szCs w:val="24"/>
        </w:rPr>
        <w:t xml:space="preserve"> </w:t>
      </w:r>
    </w:p>
    <w:p w14:paraId="361E1220" w14:textId="77777777" w:rsidR="000B0717" w:rsidRPr="004F4ACA" w:rsidRDefault="000B0717" w:rsidP="0085524E">
      <w:pPr>
        <w:spacing w:line="240" w:lineRule="auto"/>
        <w:ind w:firstLine="720"/>
        <w:jc w:val="both"/>
        <w:rPr>
          <w:rFonts w:ascii="Times New Roman" w:hAnsi="Times New Roman" w:cs="Times New Roman"/>
          <w:b/>
          <w:sz w:val="24"/>
          <w:szCs w:val="24"/>
          <w:u w:val="single"/>
        </w:rPr>
      </w:pPr>
    </w:p>
    <w:p w14:paraId="2734D282" w14:textId="77777777" w:rsidR="00FF329F" w:rsidRPr="00E35977" w:rsidRDefault="00FF329F" w:rsidP="00976263">
      <w:pPr>
        <w:spacing w:line="240" w:lineRule="auto"/>
        <w:rPr>
          <w:rFonts w:ascii="Times New Roman" w:hAnsi="Times New Roman" w:cs="Times New Roman"/>
          <w:b/>
          <w:sz w:val="24"/>
          <w:szCs w:val="24"/>
          <w:u w:val="single"/>
        </w:rPr>
      </w:pPr>
      <w:r w:rsidRPr="00E35977">
        <w:rPr>
          <w:rFonts w:ascii="Times New Roman" w:hAnsi="Times New Roman" w:cs="Times New Roman"/>
          <w:sz w:val="24"/>
          <w:szCs w:val="24"/>
        </w:rPr>
        <w:t>4.</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Facts That Justify a Sole Source Procurement</w:t>
      </w:r>
    </w:p>
    <w:p w14:paraId="307C8FC8" w14:textId="7F022128" w:rsidR="00FF329F" w:rsidRPr="00E35977" w:rsidRDefault="04FEEF46" w:rsidP="002154D7">
      <w:pPr>
        <w:spacing w:line="240" w:lineRule="auto"/>
        <w:ind w:left="1440" w:hanging="720"/>
        <w:jc w:val="both"/>
        <w:rPr>
          <w:rFonts w:ascii="Times New Roman" w:hAnsi="Times New Roman" w:cs="Times New Roman"/>
          <w:sz w:val="24"/>
          <w:szCs w:val="24"/>
        </w:rPr>
      </w:pPr>
      <w:r w:rsidRPr="04FEEF46">
        <w:rPr>
          <w:rFonts w:ascii="Times New Roman" w:hAnsi="Times New Roman" w:cs="Times New Roman"/>
          <w:sz w:val="24"/>
          <w:szCs w:val="24"/>
        </w:rPr>
        <w:t xml:space="preserve">A. </w:t>
      </w:r>
      <w:r w:rsidR="00FF329F">
        <w:tab/>
      </w:r>
      <w:r w:rsidRPr="04FEEF46">
        <w:rPr>
          <w:rFonts w:ascii="Times New Roman" w:hAnsi="Times New Roman" w:cs="Times New Roman"/>
          <w:sz w:val="24"/>
          <w:szCs w:val="24"/>
        </w:rPr>
        <w:t xml:space="preserve">The Office of the People’s Counsel for the District of Columbia is an independent agency of the District of Columbia government.  By law, it is the advocate for consumers of natural gas, electric and telephone services in the District.  District of Columbia law designates the Office as a party to all utility-related proceedings before the Public Service Commission.  The Office also represents the interests of District ratepayers before federal regulatory agencies.  The Office is authorized to investigate the operation and valuation of utility companies independently of any pending proceedings.  </w:t>
      </w:r>
    </w:p>
    <w:p w14:paraId="3A4B9304" w14:textId="77777777" w:rsidR="00A8278B" w:rsidRDefault="00A8278B" w:rsidP="00A8278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8278B">
        <w:rPr>
          <w:rFonts w:ascii="Times New Roman" w:hAnsi="Times New Roman" w:cs="Times New Roman"/>
          <w:sz w:val="24"/>
          <w:szCs w:val="24"/>
        </w:rPr>
        <w:t xml:space="preserve">Spiegel &amp; McDiarmid LLP represents the public side of our nation’s critical </w:t>
      </w:r>
      <w:r>
        <w:rPr>
          <w:rFonts w:ascii="Times New Roman" w:hAnsi="Times New Roman" w:cs="Times New Roman"/>
          <w:sz w:val="24"/>
          <w:szCs w:val="24"/>
        </w:rPr>
        <w:t xml:space="preserve">                    </w:t>
      </w:r>
    </w:p>
    <w:p w14:paraId="37C307BA" w14:textId="77777777" w:rsidR="00A8278B" w:rsidRDefault="00A8278B" w:rsidP="00A8278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8278B">
        <w:rPr>
          <w:rFonts w:ascii="Times New Roman" w:hAnsi="Times New Roman" w:cs="Times New Roman"/>
          <w:sz w:val="24"/>
          <w:szCs w:val="24"/>
        </w:rPr>
        <w:t xml:space="preserve">infrastructure industries. They also represent numerous clients in energy matters, </w:t>
      </w:r>
    </w:p>
    <w:p w14:paraId="61334677" w14:textId="77777777" w:rsidR="00A8278B" w:rsidRDefault="00A8278B" w:rsidP="00A8278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8278B">
        <w:rPr>
          <w:rFonts w:ascii="Times New Roman" w:hAnsi="Times New Roman" w:cs="Times New Roman"/>
          <w:sz w:val="24"/>
          <w:szCs w:val="24"/>
        </w:rPr>
        <w:t xml:space="preserve">including (but not limited to) clients who are likewise involved in FERC </w:t>
      </w:r>
    </w:p>
    <w:p w14:paraId="23984598" w14:textId="3C4DE23A" w:rsidR="00B457C3" w:rsidRDefault="00A8278B" w:rsidP="00A8278B">
      <w:pPr>
        <w:pStyle w:val="NoSpacing"/>
      </w:pPr>
      <w:r>
        <w:rPr>
          <w:rFonts w:ascii="Times New Roman" w:hAnsi="Times New Roman" w:cs="Times New Roman"/>
          <w:sz w:val="24"/>
          <w:szCs w:val="24"/>
        </w:rPr>
        <w:t xml:space="preserve">                       </w:t>
      </w:r>
      <w:r w:rsidRPr="00A8278B">
        <w:rPr>
          <w:rFonts w:ascii="Times New Roman" w:hAnsi="Times New Roman" w:cs="Times New Roman"/>
          <w:sz w:val="24"/>
          <w:szCs w:val="24"/>
        </w:rPr>
        <w:t>proceedings concerning the PJM Interconnection region</w:t>
      </w:r>
      <w:r>
        <w:t xml:space="preserve">. </w:t>
      </w:r>
    </w:p>
    <w:p w14:paraId="7E0C8921" w14:textId="77777777" w:rsidR="00B457C3" w:rsidRDefault="00B457C3">
      <w:pPr>
        <w:rPr>
          <w:rFonts w:ascii="Times New Roman" w:hAnsi="Times New Roman" w:cs="Times New Roman"/>
          <w:sz w:val="24"/>
          <w:szCs w:val="24"/>
        </w:rPr>
      </w:pPr>
      <w:r>
        <w:rPr>
          <w:rFonts w:ascii="Times New Roman" w:hAnsi="Times New Roman" w:cs="Times New Roman"/>
          <w:sz w:val="24"/>
          <w:szCs w:val="24"/>
        </w:rPr>
        <w:br w:type="page"/>
      </w:r>
    </w:p>
    <w:p w14:paraId="681E2ADF" w14:textId="6DFEEE71" w:rsidR="006662DB" w:rsidRPr="00584543" w:rsidRDefault="00A147AC" w:rsidP="009C25C5">
      <w:pPr>
        <w:spacing w:line="240" w:lineRule="auto"/>
        <w:ind w:left="1440"/>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The Commission’s NOI raises far-ranging questions concerning three related areas:</w:t>
      </w:r>
      <w:r w:rsidR="006662DB">
        <w:rPr>
          <w:rFonts w:ascii="Times New Roman" w:hAnsi="Times New Roman" w:cs="Times New Roman"/>
          <w:sz w:val="24"/>
          <w:szCs w:val="24"/>
        </w:rPr>
        <w:t xml:space="preserve"> </w:t>
      </w:r>
    </w:p>
    <w:p w14:paraId="3E1973F9" w14:textId="6E6CFDD1" w:rsidR="002A3FE4" w:rsidRDefault="00A147AC" w:rsidP="00A147A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FERC’s current, blanket authorization policy under which exempts certain acquisitions of utility (or utility holding company) stock from obtaining Commission approval under FPA section 203 that the acquisition is in the public interest;</w:t>
      </w:r>
    </w:p>
    <w:p w14:paraId="3F44E9BB" w14:textId="77777777" w:rsidR="002B5ECA" w:rsidRDefault="002B5ECA" w:rsidP="002B5ECA">
      <w:pPr>
        <w:pStyle w:val="ListParagraph"/>
        <w:spacing w:line="240" w:lineRule="auto"/>
        <w:rPr>
          <w:rFonts w:ascii="Times New Roman" w:hAnsi="Times New Roman" w:cs="Times New Roman"/>
          <w:sz w:val="24"/>
          <w:szCs w:val="24"/>
        </w:rPr>
      </w:pPr>
    </w:p>
    <w:p w14:paraId="79F886A6" w14:textId="33362562" w:rsidR="00A147AC" w:rsidRDefault="00A147AC" w:rsidP="00A147A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the role of large investment companies in utilities, are whether these investors in fact exercise control over these utilities – and their FERC jurisdictional transactions – due to their enormous financial power; and</w:t>
      </w:r>
    </w:p>
    <w:p w14:paraId="6FDB5EFA" w14:textId="77777777" w:rsidR="002B5ECA" w:rsidRDefault="002B5ECA" w:rsidP="002B5ECA">
      <w:pPr>
        <w:pStyle w:val="ListParagraph"/>
        <w:spacing w:line="240" w:lineRule="auto"/>
        <w:rPr>
          <w:rFonts w:ascii="Times New Roman" w:hAnsi="Times New Roman" w:cs="Times New Roman"/>
          <w:sz w:val="24"/>
          <w:szCs w:val="24"/>
        </w:rPr>
      </w:pPr>
    </w:p>
    <w:p w14:paraId="106B133B" w14:textId="51C78F90" w:rsidR="00A147AC" w:rsidRDefault="00A147AC" w:rsidP="00A147AC">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whether </w:t>
      </w:r>
      <w:r w:rsidR="003B3960">
        <w:rPr>
          <w:rFonts w:ascii="Times New Roman" w:hAnsi="Times New Roman" w:cs="Times New Roman"/>
          <w:sz w:val="24"/>
          <w:szCs w:val="24"/>
        </w:rPr>
        <w:t>and how the Commission’s current understanding of investor “control” may not fully capture all of the ways in which investors holding voting securities in a large number of public utilities may be able to exert influence.</w:t>
      </w:r>
    </w:p>
    <w:p w14:paraId="7E80588F" w14:textId="77777777" w:rsidR="003B3960" w:rsidRDefault="003B3960" w:rsidP="003B3960">
      <w:pPr>
        <w:pStyle w:val="ListParagraph"/>
        <w:spacing w:line="240" w:lineRule="auto"/>
        <w:rPr>
          <w:rFonts w:ascii="Times New Roman" w:hAnsi="Times New Roman" w:cs="Times New Roman"/>
          <w:sz w:val="24"/>
          <w:szCs w:val="24"/>
        </w:rPr>
      </w:pPr>
    </w:p>
    <w:p w14:paraId="4E103EA4" w14:textId="345738C2" w:rsidR="003B3960" w:rsidRDefault="002D2C39" w:rsidP="003B396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3960">
        <w:rPr>
          <w:rFonts w:ascii="Times New Roman" w:hAnsi="Times New Roman" w:cs="Times New Roman"/>
          <w:sz w:val="24"/>
          <w:szCs w:val="24"/>
        </w:rPr>
        <w:t>The NOI</w:t>
      </w:r>
      <w:r>
        <w:rPr>
          <w:rFonts w:ascii="Times New Roman" w:hAnsi="Times New Roman" w:cs="Times New Roman"/>
          <w:sz w:val="24"/>
          <w:szCs w:val="24"/>
        </w:rPr>
        <w:t xml:space="preserve"> is grounded in the Commission’s recognition of significant changes in public utility, finance, and banking industries over the last decade, and the concern that these changes may have rendered the Commission’s blanket authorization policies insufficient to prevent market power abuses and protect the public interest. The NOI notes (at P 11) that “[t]he three largest index fund investment companies currently vote over 20% of the stock in the largest U.S. public companies, a number that may soon rise to 40%.</w:t>
      </w:r>
    </w:p>
    <w:p w14:paraId="2B7E79D4" w14:textId="77777777" w:rsidR="000B0717" w:rsidRDefault="000B0717" w:rsidP="003B3960">
      <w:pPr>
        <w:pStyle w:val="ListParagraph"/>
        <w:spacing w:line="240" w:lineRule="auto"/>
        <w:rPr>
          <w:rFonts w:ascii="Times New Roman" w:hAnsi="Times New Roman" w:cs="Times New Roman"/>
          <w:sz w:val="24"/>
          <w:szCs w:val="24"/>
        </w:rPr>
      </w:pPr>
    </w:p>
    <w:p w14:paraId="4092B180" w14:textId="77777777" w:rsidR="000B0717" w:rsidRDefault="000B0717" w:rsidP="000B0717">
      <w:pPr>
        <w:spacing w:line="24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 xml:space="preserve">The specific technical tasks covered in this procurement will include: </w:t>
      </w:r>
    </w:p>
    <w:p w14:paraId="501E0FEF" w14:textId="6DBBAE37" w:rsidR="000B0717" w:rsidRDefault="000B0717" w:rsidP="000B0717">
      <w:pPr>
        <w:pStyle w:val="NoSpacing"/>
        <w:numPr>
          <w:ilvl w:val="1"/>
          <w:numId w:val="10"/>
        </w:numPr>
      </w:pPr>
      <w:r>
        <w:rPr>
          <w:rFonts w:ascii="Times New Roman" w:hAnsi="Times New Roman" w:cs="Times New Roman"/>
          <w:sz w:val="24"/>
          <w:szCs w:val="24"/>
        </w:rPr>
        <w:t>Drafting initial comments, receiving feedback, and filing with FERC</w:t>
      </w:r>
      <w:r>
        <w:t>;</w:t>
      </w:r>
    </w:p>
    <w:p w14:paraId="2C562AB4" w14:textId="31525FE8" w:rsidR="000B0717" w:rsidRDefault="000B0717" w:rsidP="000B0717">
      <w:pPr>
        <w:pStyle w:val="Default"/>
        <w:numPr>
          <w:ilvl w:val="1"/>
          <w:numId w:val="10"/>
        </w:numPr>
        <w:jc w:val="both"/>
      </w:pPr>
      <w:r>
        <w:t>Reviewing the initial submissions of others (we anticipate significant participation across a broad range of industry participants), reporting to/meeting with OPC to develop a set of issues to address in reply comments;</w:t>
      </w:r>
      <w:r w:rsidRPr="00E35977">
        <w:t xml:space="preserve"> </w:t>
      </w:r>
    </w:p>
    <w:p w14:paraId="1C80A895" w14:textId="5F18DD4C" w:rsidR="000B0717" w:rsidRDefault="000B0717" w:rsidP="000B0717">
      <w:pPr>
        <w:pStyle w:val="Default"/>
        <w:numPr>
          <w:ilvl w:val="1"/>
          <w:numId w:val="10"/>
        </w:numPr>
        <w:jc w:val="both"/>
      </w:pPr>
      <w:r>
        <w:t>Reporting to/meeting with OPC to develop a set of issues to address in reply comments;</w:t>
      </w:r>
      <w:r w:rsidRPr="00E35977">
        <w:t xml:space="preserve"> </w:t>
      </w:r>
    </w:p>
    <w:p w14:paraId="00B0FDEE" w14:textId="38AC23F9" w:rsidR="000B0717" w:rsidRDefault="000B0717" w:rsidP="000B0717">
      <w:pPr>
        <w:pStyle w:val="Default"/>
        <w:numPr>
          <w:ilvl w:val="0"/>
          <w:numId w:val="1"/>
        </w:numPr>
        <w:ind w:left="1800"/>
        <w:jc w:val="both"/>
      </w:pPr>
      <w:r>
        <w:t>Drafting reply comments, again receiving feedback and filing with FERC;</w:t>
      </w:r>
      <w:r w:rsidRPr="00E35977">
        <w:t xml:space="preserve"> </w:t>
      </w:r>
    </w:p>
    <w:p w14:paraId="1C95A808" w14:textId="53EC2FDA" w:rsidR="000B0717" w:rsidRPr="00E35977" w:rsidRDefault="000B0717" w:rsidP="000B0717">
      <w:pPr>
        <w:pStyle w:val="Default"/>
        <w:numPr>
          <w:ilvl w:val="0"/>
          <w:numId w:val="1"/>
        </w:numPr>
        <w:ind w:left="1800"/>
        <w:jc w:val="both"/>
      </w:pPr>
      <w:r>
        <w:t>Possibly meeting with FERC Commissioners/staff to discuss OPC’s concerns.</w:t>
      </w:r>
    </w:p>
    <w:p w14:paraId="7FC92C6A" w14:textId="77777777" w:rsidR="00002B44" w:rsidRPr="00A147AC" w:rsidRDefault="00002B44" w:rsidP="003B3960">
      <w:pPr>
        <w:pStyle w:val="ListParagraph"/>
        <w:spacing w:line="240" w:lineRule="auto"/>
        <w:rPr>
          <w:rFonts w:ascii="Times New Roman" w:hAnsi="Times New Roman" w:cs="Times New Roman"/>
          <w:sz w:val="24"/>
          <w:szCs w:val="24"/>
        </w:rPr>
      </w:pPr>
    </w:p>
    <w:p w14:paraId="7182F5CA" w14:textId="60F8DA10" w:rsidR="00CC1CB9" w:rsidRPr="00E35977" w:rsidRDefault="00CC1CB9" w:rsidP="00E35977">
      <w:pPr>
        <w:spacing w:line="240" w:lineRule="auto"/>
        <w:ind w:left="1440" w:hanging="600"/>
        <w:jc w:val="both"/>
        <w:rPr>
          <w:rFonts w:ascii="Times New Roman" w:hAnsi="Times New Roman" w:cs="Times New Roman"/>
          <w:sz w:val="24"/>
          <w:szCs w:val="24"/>
        </w:rPr>
      </w:pPr>
      <w:r w:rsidRPr="00E35977">
        <w:rPr>
          <w:rFonts w:ascii="Times New Roman" w:hAnsi="Times New Roman" w:cs="Times New Roman"/>
          <w:sz w:val="24"/>
          <w:szCs w:val="24"/>
        </w:rPr>
        <w:t xml:space="preserve">B. </w:t>
      </w:r>
      <w:r w:rsidR="00E35977">
        <w:rPr>
          <w:rFonts w:ascii="Times New Roman" w:hAnsi="Times New Roman" w:cs="Times New Roman"/>
          <w:sz w:val="24"/>
          <w:szCs w:val="24"/>
        </w:rPr>
        <w:tab/>
        <w:t xml:space="preserve">Given </w:t>
      </w:r>
      <w:r w:rsidR="00F5079D">
        <w:rPr>
          <w:rFonts w:ascii="Times New Roman" w:hAnsi="Times New Roman" w:cs="Times New Roman"/>
          <w:sz w:val="24"/>
          <w:szCs w:val="24"/>
        </w:rPr>
        <w:t>Spiegel &amp; McDiarmid's</w:t>
      </w:r>
      <w:r w:rsidR="00E35977">
        <w:rPr>
          <w:rFonts w:ascii="Times New Roman" w:hAnsi="Times New Roman" w:cs="Times New Roman"/>
          <w:sz w:val="24"/>
          <w:szCs w:val="24"/>
        </w:rPr>
        <w:t xml:space="preserve"> expertise in</w:t>
      </w:r>
      <w:r w:rsidRPr="00E35977">
        <w:rPr>
          <w:rFonts w:ascii="Times New Roman" w:hAnsi="Times New Roman" w:cs="Times New Roman"/>
          <w:sz w:val="24"/>
          <w:szCs w:val="24"/>
        </w:rPr>
        <w:t xml:space="preserve"> PJM and FERC electric matters, th</w:t>
      </w:r>
      <w:r w:rsidR="00652232">
        <w:rPr>
          <w:rFonts w:ascii="Times New Roman" w:hAnsi="Times New Roman" w:cs="Times New Roman"/>
          <w:sz w:val="24"/>
          <w:szCs w:val="24"/>
        </w:rPr>
        <w:t>is</w:t>
      </w:r>
      <w:r w:rsidR="00DF4629">
        <w:rPr>
          <w:rFonts w:ascii="Times New Roman" w:hAnsi="Times New Roman" w:cs="Times New Roman"/>
          <w:sz w:val="24"/>
          <w:szCs w:val="24"/>
        </w:rPr>
        <w:t xml:space="preserve"> consultant is</w:t>
      </w:r>
      <w:r w:rsidRPr="00E35977">
        <w:rPr>
          <w:rFonts w:ascii="Times New Roman" w:hAnsi="Times New Roman" w:cs="Times New Roman"/>
          <w:sz w:val="24"/>
          <w:szCs w:val="24"/>
        </w:rPr>
        <w:t xml:space="preserve"> uniquely qualified to assist the Office of the People’s Counsel </w:t>
      </w:r>
      <w:r w:rsidR="00E35977">
        <w:rPr>
          <w:rFonts w:ascii="Times New Roman" w:hAnsi="Times New Roman" w:cs="Times New Roman"/>
          <w:sz w:val="24"/>
          <w:szCs w:val="24"/>
        </w:rPr>
        <w:t xml:space="preserve">with </w:t>
      </w:r>
      <w:r w:rsidR="00F5079D">
        <w:rPr>
          <w:rFonts w:ascii="Times New Roman" w:hAnsi="Times New Roman" w:cs="Times New Roman"/>
          <w:sz w:val="24"/>
          <w:szCs w:val="24"/>
        </w:rPr>
        <w:t>representation in Federal Power Act Section 203 Blanket Authorizations for Investment Companies, FERC Docket No. AD24-6-000</w:t>
      </w:r>
      <w:r w:rsidRPr="00E35977">
        <w:rPr>
          <w:rFonts w:ascii="Times New Roman" w:hAnsi="Times New Roman" w:cs="Times New Roman"/>
          <w:sz w:val="24"/>
          <w:szCs w:val="24"/>
        </w:rPr>
        <w:t xml:space="preserve">.  </w:t>
      </w:r>
    </w:p>
    <w:p w14:paraId="4EE65B07" w14:textId="7E48FDA3" w:rsidR="00A46EA6" w:rsidRDefault="002A3FE4" w:rsidP="00CC1CB9">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 </w:t>
      </w:r>
      <w:r w:rsidR="00CC1CB9" w:rsidRPr="00E35977">
        <w:rPr>
          <w:rFonts w:ascii="Times New Roman" w:hAnsi="Times New Roman" w:cs="Times New Roman"/>
          <w:sz w:val="24"/>
          <w:szCs w:val="24"/>
        </w:rPr>
        <w:t xml:space="preserve">C. </w:t>
      </w:r>
      <w:r w:rsidR="00CC1CB9" w:rsidRPr="00E35977">
        <w:rPr>
          <w:rFonts w:ascii="Times New Roman" w:hAnsi="Times New Roman" w:cs="Times New Roman"/>
          <w:sz w:val="24"/>
          <w:szCs w:val="24"/>
        </w:rPr>
        <w:tab/>
        <w:t>It is for the reasons outlined herein that it is recommend</w:t>
      </w:r>
      <w:r w:rsidR="00E35977">
        <w:rPr>
          <w:rFonts w:ascii="Times New Roman" w:hAnsi="Times New Roman" w:cs="Times New Roman"/>
          <w:sz w:val="24"/>
          <w:szCs w:val="24"/>
        </w:rPr>
        <w:t>ed</w:t>
      </w:r>
      <w:r w:rsidR="00CC1CB9" w:rsidRPr="00E35977">
        <w:rPr>
          <w:rFonts w:ascii="Times New Roman" w:hAnsi="Times New Roman" w:cs="Times New Roman"/>
          <w:sz w:val="24"/>
          <w:szCs w:val="24"/>
        </w:rPr>
        <w:t xml:space="preserve"> that a sole source </w:t>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t xml:space="preserve">contract be awarded to </w:t>
      </w:r>
      <w:r w:rsidR="00222F71">
        <w:rPr>
          <w:rFonts w:ascii="Times New Roman" w:hAnsi="Times New Roman" w:cs="Times New Roman"/>
          <w:sz w:val="24"/>
          <w:szCs w:val="24"/>
        </w:rPr>
        <w:t>Spiegel &amp; McDiarmid</w:t>
      </w:r>
      <w:r w:rsidR="00CC1CB9" w:rsidRPr="00E35977">
        <w:rPr>
          <w:rFonts w:ascii="Times New Roman" w:hAnsi="Times New Roman" w:cs="Times New Roman"/>
          <w:sz w:val="24"/>
          <w:szCs w:val="24"/>
        </w:rPr>
        <w:t xml:space="preserve">.  </w:t>
      </w:r>
      <w:r w:rsidRPr="00E35977">
        <w:rPr>
          <w:rFonts w:ascii="Times New Roman" w:hAnsi="Times New Roman" w:cs="Times New Roman"/>
          <w:sz w:val="24"/>
          <w:szCs w:val="24"/>
        </w:rPr>
        <w:tab/>
      </w:r>
    </w:p>
    <w:p w14:paraId="61828364" w14:textId="77777777" w:rsidR="000B0717" w:rsidRDefault="000B0717" w:rsidP="00CC1CB9">
      <w:pPr>
        <w:spacing w:line="240" w:lineRule="auto"/>
        <w:jc w:val="both"/>
        <w:rPr>
          <w:rFonts w:ascii="Times New Roman" w:hAnsi="Times New Roman" w:cs="Times New Roman"/>
          <w:sz w:val="24"/>
          <w:szCs w:val="24"/>
        </w:rPr>
      </w:pPr>
    </w:p>
    <w:p w14:paraId="3FD5BD41" w14:textId="77777777" w:rsidR="000B0717" w:rsidRDefault="000B0717" w:rsidP="00CC1CB9">
      <w:pPr>
        <w:spacing w:line="240" w:lineRule="auto"/>
        <w:jc w:val="both"/>
        <w:rPr>
          <w:rFonts w:ascii="Times New Roman" w:hAnsi="Times New Roman" w:cs="Times New Roman"/>
          <w:sz w:val="24"/>
          <w:szCs w:val="24"/>
        </w:rPr>
      </w:pPr>
    </w:p>
    <w:p w14:paraId="3C48261B" w14:textId="77777777" w:rsidR="000B0717" w:rsidRDefault="000B0717" w:rsidP="00CC1CB9">
      <w:pPr>
        <w:spacing w:line="240" w:lineRule="auto"/>
        <w:jc w:val="both"/>
        <w:rPr>
          <w:rFonts w:ascii="Times New Roman" w:hAnsi="Times New Roman" w:cs="Times New Roman"/>
          <w:sz w:val="24"/>
          <w:szCs w:val="24"/>
        </w:rPr>
      </w:pPr>
    </w:p>
    <w:p w14:paraId="7DFDEF22" w14:textId="6F0C88BB" w:rsidR="00CC1CB9" w:rsidRPr="00E35977" w:rsidRDefault="00CC1CB9" w:rsidP="00CC1CB9">
      <w:pPr>
        <w:spacing w:line="240" w:lineRule="auto"/>
        <w:jc w:val="both"/>
        <w:rPr>
          <w:rFonts w:ascii="Times New Roman" w:hAnsi="Times New Roman" w:cs="Times New Roman"/>
          <w:b/>
          <w:sz w:val="24"/>
          <w:szCs w:val="24"/>
          <w:u w:val="single"/>
        </w:rPr>
      </w:pPr>
      <w:r w:rsidRPr="00E35977">
        <w:rPr>
          <w:rFonts w:ascii="Times New Roman" w:hAnsi="Times New Roman" w:cs="Times New Roman"/>
          <w:sz w:val="24"/>
          <w:szCs w:val="24"/>
        </w:rPr>
        <w:lastRenderedPageBreak/>
        <w:t xml:space="preserve">5. </w:t>
      </w:r>
      <w:r w:rsidRPr="00E35977">
        <w:rPr>
          <w:rFonts w:ascii="Times New Roman" w:hAnsi="Times New Roman" w:cs="Times New Roman"/>
          <w:sz w:val="24"/>
          <w:szCs w:val="24"/>
        </w:rPr>
        <w:tab/>
      </w:r>
      <w:r w:rsidRPr="00E35977">
        <w:rPr>
          <w:rFonts w:ascii="Times New Roman" w:hAnsi="Times New Roman" w:cs="Times New Roman"/>
          <w:b/>
          <w:sz w:val="24"/>
          <w:szCs w:val="24"/>
          <w:u w:val="single"/>
        </w:rPr>
        <w:t>Certification by the Contracting Officer</w:t>
      </w:r>
    </w:p>
    <w:p w14:paraId="11CBDDFF" w14:textId="77777777" w:rsidR="00CC1CB9" w:rsidRDefault="00CC1CB9" w:rsidP="00CC1CB9">
      <w:pPr>
        <w:spacing w:line="240" w:lineRule="auto"/>
        <w:jc w:val="both"/>
        <w:rPr>
          <w:rFonts w:ascii="Times New Roman" w:hAnsi="Times New Roman" w:cs="Times New Roman"/>
          <w:sz w:val="24"/>
          <w:szCs w:val="24"/>
        </w:rPr>
      </w:pPr>
      <w:r w:rsidRPr="00E35977">
        <w:rPr>
          <w:rFonts w:ascii="Times New Roman" w:hAnsi="Times New Roman" w:cs="Times New Roman"/>
          <w:sz w:val="24"/>
          <w:szCs w:val="24"/>
        </w:rPr>
        <w:tab/>
        <w:t xml:space="preserve">I hereby certify that the above facts are accurate and complete.  </w:t>
      </w:r>
    </w:p>
    <w:p w14:paraId="05FC8774" w14:textId="5FDFED8F" w:rsidR="00656471" w:rsidRPr="00E35977" w:rsidRDefault="00656471" w:rsidP="00656471">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5977">
        <w:rPr>
          <w:rFonts w:ascii="Times New Roman" w:hAnsi="Times New Roman" w:cs="Times New Roman"/>
          <w:sz w:val="24"/>
          <w:szCs w:val="24"/>
        </w:rPr>
        <w:t>____________________</w:t>
      </w:r>
    </w:p>
    <w:p w14:paraId="690736E5" w14:textId="6A8F25E8" w:rsidR="00CC1CB9" w:rsidRPr="00E35977" w:rsidRDefault="00604058" w:rsidP="00CC1CB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Cherry Belle</w:t>
      </w:r>
      <w:r w:rsidR="00FA17A4">
        <w:rPr>
          <w:rFonts w:ascii="Times New Roman" w:hAnsi="Times New Roman" w:cs="Times New Roman"/>
          <w:sz w:val="24"/>
          <w:szCs w:val="24"/>
        </w:rPr>
        <w:t xml:space="preserve">                          </w:t>
      </w:r>
      <w:r w:rsidR="00BF07FD">
        <w:rPr>
          <w:rFonts w:ascii="Times New Roman" w:hAnsi="Times New Roman" w:cs="Times New Roman"/>
          <w:sz w:val="24"/>
          <w:szCs w:val="24"/>
        </w:rPr>
        <w:tab/>
      </w:r>
      <w:r w:rsidR="00BF07FD">
        <w:rPr>
          <w:rFonts w:ascii="Times New Roman" w:hAnsi="Times New Roman" w:cs="Times New Roman"/>
          <w:sz w:val="24"/>
          <w:szCs w:val="24"/>
        </w:rPr>
        <w:tab/>
      </w:r>
      <w:r w:rsidR="00BF07FD">
        <w:rPr>
          <w:rFonts w:ascii="Times New Roman" w:hAnsi="Times New Roman" w:cs="Times New Roman"/>
          <w:sz w:val="24"/>
          <w:szCs w:val="24"/>
        </w:rPr>
        <w:tab/>
      </w:r>
      <w:r w:rsidR="00BF07FD">
        <w:rPr>
          <w:rFonts w:ascii="Times New Roman" w:hAnsi="Times New Roman" w:cs="Times New Roman"/>
          <w:sz w:val="24"/>
          <w:szCs w:val="24"/>
        </w:rPr>
        <w:tab/>
      </w:r>
      <w:r w:rsidR="003C7C0F">
        <w:rPr>
          <w:rFonts w:ascii="Times New Roman" w:hAnsi="Times New Roman" w:cs="Times New Roman"/>
          <w:sz w:val="24"/>
          <w:szCs w:val="24"/>
        </w:rPr>
        <w:t xml:space="preserve">            </w:t>
      </w:r>
      <w:r w:rsidR="00CC1CB9" w:rsidRPr="00E35977">
        <w:rPr>
          <w:rFonts w:ascii="Times New Roman" w:hAnsi="Times New Roman" w:cs="Times New Roman"/>
          <w:sz w:val="24"/>
          <w:szCs w:val="24"/>
        </w:rPr>
        <w:t>Date</w:t>
      </w:r>
    </w:p>
    <w:p w14:paraId="13361A3F" w14:textId="2EAE2041" w:rsidR="00CC1CB9" w:rsidRPr="00E35977" w:rsidRDefault="00CC1CB9" w:rsidP="00CC1CB9">
      <w:pPr>
        <w:spacing w:line="240" w:lineRule="auto"/>
        <w:contextualSpacing/>
        <w:jc w:val="both"/>
        <w:rPr>
          <w:rFonts w:ascii="Times New Roman" w:hAnsi="Times New Roman" w:cs="Times New Roman"/>
          <w:sz w:val="24"/>
          <w:szCs w:val="24"/>
        </w:rPr>
      </w:pPr>
      <w:r w:rsidRPr="00E35977">
        <w:rPr>
          <w:rFonts w:ascii="Times New Roman" w:hAnsi="Times New Roman" w:cs="Times New Roman"/>
          <w:sz w:val="24"/>
          <w:szCs w:val="24"/>
        </w:rPr>
        <w:t>Contracting Officer</w:t>
      </w:r>
    </w:p>
    <w:p w14:paraId="1D99B024" w14:textId="77777777" w:rsidR="00CC1CB9" w:rsidRPr="00E35977" w:rsidRDefault="00CC1CB9" w:rsidP="00CC1CB9">
      <w:pPr>
        <w:spacing w:line="240" w:lineRule="auto"/>
        <w:contextualSpacing/>
        <w:jc w:val="both"/>
        <w:rPr>
          <w:rFonts w:ascii="Times New Roman" w:hAnsi="Times New Roman" w:cs="Times New Roman"/>
          <w:sz w:val="24"/>
          <w:szCs w:val="24"/>
        </w:rPr>
      </w:pPr>
    </w:p>
    <w:p w14:paraId="2C0712F8" w14:textId="77777777" w:rsidR="00CC1CB9" w:rsidRPr="00E35977" w:rsidRDefault="00CC1CB9" w:rsidP="00CC1CB9">
      <w:pPr>
        <w:spacing w:line="240" w:lineRule="auto"/>
        <w:contextualSpacing/>
        <w:jc w:val="center"/>
        <w:rPr>
          <w:rFonts w:ascii="Times New Roman" w:hAnsi="Times New Roman" w:cs="Times New Roman"/>
          <w:b/>
          <w:sz w:val="24"/>
          <w:szCs w:val="24"/>
        </w:rPr>
      </w:pPr>
      <w:r w:rsidRPr="00E35977">
        <w:rPr>
          <w:rFonts w:ascii="Times New Roman" w:hAnsi="Times New Roman" w:cs="Times New Roman"/>
          <w:b/>
          <w:sz w:val="24"/>
          <w:szCs w:val="24"/>
        </w:rPr>
        <w:t>DETERMINATION</w:t>
      </w:r>
    </w:p>
    <w:p w14:paraId="266F8F49" w14:textId="77777777" w:rsidR="00CC1CB9" w:rsidRPr="00E35977" w:rsidRDefault="00CC1CB9" w:rsidP="00CC1CB9">
      <w:pPr>
        <w:spacing w:line="240" w:lineRule="auto"/>
        <w:contextualSpacing/>
        <w:jc w:val="center"/>
        <w:rPr>
          <w:rFonts w:ascii="Times New Roman" w:hAnsi="Times New Roman" w:cs="Times New Roman"/>
          <w:b/>
          <w:sz w:val="24"/>
          <w:szCs w:val="24"/>
        </w:rPr>
      </w:pPr>
    </w:p>
    <w:p w14:paraId="20D8992C" w14:textId="77777777" w:rsidR="00CC1CB9" w:rsidRPr="00E35977" w:rsidRDefault="00CC1CB9" w:rsidP="00CC1CB9">
      <w:pPr>
        <w:spacing w:line="240" w:lineRule="auto"/>
        <w:contextualSpacing/>
        <w:rPr>
          <w:rFonts w:ascii="Times New Roman" w:hAnsi="Times New Roman" w:cs="Times New Roman"/>
          <w:i/>
          <w:sz w:val="24"/>
          <w:szCs w:val="24"/>
        </w:rPr>
      </w:pPr>
      <w:r w:rsidRPr="00E35977">
        <w:rPr>
          <w:rFonts w:ascii="Times New Roman" w:hAnsi="Times New Roman" w:cs="Times New Roman"/>
          <w:sz w:val="24"/>
          <w:szCs w:val="24"/>
        </w:rPr>
        <w:t xml:space="preserve">Based on the above findings and in accordance with the District of Columbia procurement regulations: </w:t>
      </w:r>
      <w:r w:rsidRPr="00E35977">
        <w:rPr>
          <w:rFonts w:ascii="Times New Roman" w:hAnsi="Times New Roman" w:cs="Times New Roman"/>
          <w:i/>
          <w:sz w:val="24"/>
          <w:szCs w:val="24"/>
        </w:rPr>
        <w:t xml:space="preserve">DC Law: 34-804; DC Law: 34-801; </w:t>
      </w:r>
      <w:r w:rsidRPr="00E35977">
        <w:rPr>
          <w:rFonts w:ascii="Times New Roman" w:hAnsi="Times New Roman" w:cs="Times New Roman"/>
          <w:sz w:val="24"/>
          <w:szCs w:val="24"/>
        </w:rPr>
        <w:t xml:space="preserve">and </w:t>
      </w:r>
      <w:r w:rsidRPr="00E35977">
        <w:rPr>
          <w:rFonts w:ascii="Times New Roman" w:hAnsi="Times New Roman" w:cs="Times New Roman"/>
          <w:i/>
          <w:sz w:val="24"/>
          <w:szCs w:val="24"/>
        </w:rPr>
        <w:t>15 DCMR §3700,</w:t>
      </w:r>
    </w:p>
    <w:p w14:paraId="3078E28F" w14:textId="77777777" w:rsidR="00CC1CB9" w:rsidRPr="00E35977" w:rsidRDefault="00CC1CB9" w:rsidP="00CC1CB9">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 xml:space="preserve">I hereby determine that the award of a sole source contract for the services described herein is in the best interest of the Office of the People’s Counsel. </w:t>
      </w:r>
    </w:p>
    <w:p w14:paraId="78317C75" w14:textId="77777777" w:rsidR="00CC1CB9" w:rsidRPr="00E35977" w:rsidRDefault="00CC1CB9" w:rsidP="00CC1CB9">
      <w:pPr>
        <w:spacing w:line="240" w:lineRule="auto"/>
        <w:contextualSpacing/>
        <w:rPr>
          <w:rFonts w:ascii="Times New Roman" w:hAnsi="Times New Roman" w:cs="Times New Roman"/>
          <w:sz w:val="24"/>
          <w:szCs w:val="24"/>
        </w:rPr>
      </w:pPr>
    </w:p>
    <w:p w14:paraId="1D809396" w14:textId="0FCFB5B8" w:rsidR="00CC1CB9" w:rsidRPr="00E35977" w:rsidRDefault="00CC1CB9" w:rsidP="00CC1CB9">
      <w:pPr>
        <w:spacing w:line="240" w:lineRule="auto"/>
        <w:contextualSpacing/>
        <w:rPr>
          <w:rFonts w:ascii="Times New Roman" w:hAnsi="Times New Roman" w:cs="Times New Roman"/>
          <w:sz w:val="24"/>
          <w:szCs w:val="24"/>
        </w:rPr>
      </w:pPr>
      <w:r w:rsidRPr="00E35977">
        <w:rPr>
          <w:rFonts w:ascii="Times New Roman" w:hAnsi="Times New Roman" w:cs="Times New Roman"/>
          <w:sz w:val="24"/>
          <w:szCs w:val="24"/>
        </w:rPr>
        <w:t>___________________________</w:t>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r>
      <w:r w:rsidRPr="00E35977">
        <w:rPr>
          <w:rFonts w:ascii="Times New Roman" w:hAnsi="Times New Roman" w:cs="Times New Roman"/>
          <w:sz w:val="24"/>
          <w:szCs w:val="24"/>
        </w:rPr>
        <w:tab/>
        <w:t>_____________________</w:t>
      </w:r>
    </w:p>
    <w:p w14:paraId="68AA975D" w14:textId="1578531A" w:rsidR="00CC1CB9" w:rsidRPr="00E35977" w:rsidRDefault="003C7C0F" w:rsidP="00CC1CB9">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Michael Smalls</w:t>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CC1CB9" w:rsidRPr="00E35977">
        <w:rPr>
          <w:rFonts w:ascii="Times New Roman" w:hAnsi="Times New Roman" w:cs="Times New Roman"/>
          <w:sz w:val="24"/>
          <w:szCs w:val="24"/>
        </w:rPr>
        <w:tab/>
      </w:r>
      <w:r w:rsidR="00656471">
        <w:rPr>
          <w:rFonts w:ascii="Times New Roman" w:hAnsi="Times New Roman" w:cs="Times New Roman"/>
          <w:sz w:val="24"/>
          <w:szCs w:val="24"/>
        </w:rPr>
        <w:tab/>
      </w:r>
      <w:r w:rsidR="00CC1CB9" w:rsidRPr="00E35977">
        <w:rPr>
          <w:rFonts w:ascii="Times New Roman" w:hAnsi="Times New Roman" w:cs="Times New Roman"/>
          <w:sz w:val="24"/>
          <w:szCs w:val="24"/>
        </w:rPr>
        <w:t>Date</w:t>
      </w:r>
    </w:p>
    <w:p w14:paraId="5628889E" w14:textId="6C0E03C4" w:rsidR="00656471" w:rsidRPr="00E35977" w:rsidRDefault="00656471" w:rsidP="00CC1CB9">
      <w:pPr>
        <w:spacing w:line="240" w:lineRule="auto"/>
        <w:rPr>
          <w:rFonts w:ascii="Times New Roman" w:hAnsi="Times New Roman" w:cs="Times New Roman"/>
          <w:sz w:val="24"/>
          <w:szCs w:val="24"/>
        </w:rPr>
      </w:pPr>
      <w:r>
        <w:rPr>
          <w:rFonts w:ascii="Times New Roman" w:hAnsi="Times New Roman" w:cs="Times New Roman"/>
          <w:sz w:val="24"/>
          <w:szCs w:val="24"/>
        </w:rPr>
        <w:t>Chief Operating Officer</w:t>
      </w:r>
    </w:p>
    <w:sectPr w:rsidR="00656471" w:rsidRPr="00E35977" w:rsidSect="00B130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015C" w14:textId="77777777" w:rsidR="00B1307C" w:rsidRDefault="00B1307C" w:rsidP="00A56BA9">
      <w:pPr>
        <w:spacing w:after="0" w:line="240" w:lineRule="auto"/>
      </w:pPr>
      <w:r>
        <w:separator/>
      </w:r>
    </w:p>
  </w:endnote>
  <w:endnote w:type="continuationSeparator" w:id="0">
    <w:p w14:paraId="36E54F14" w14:textId="77777777" w:rsidR="00B1307C" w:rsidRDefault="00B1307C" w:rsidP="00A56BA9">
      <w:pPr>
        <w:spacing w:after="0" w:line="240" w:lineRule="auto"/>
      </w:pPr>
      <w:r>
        <w:continuationSeparator/>
      </w:r>
    </w:p>
  </w:endnote>
  <w:endnote w:id="1">
    <w:p w14:paraId="62628F5A" w14:textId="1113BDFD" w:rsidR="00A56BA9" w:rsidRDefault="00A56BA9">
      <w:pPr>
        <w:pStyle w:val="EndnoteText"/>
      </w:pPr>
      <w:r>
        <w:rPr>
          <w:rStyle w:val="EndnoteReference"/>
        </w:rPr>
        <w:endnoteRef/>
      </w:r>
      <w:r>
        <w:t xml:space="preserve">   </w:t>
      </w:r>
      <w:r w:rsidRPr="00A56BA9">
        <w:rPr>
          <w:sz w:val="18"/>
          <w:szCs w:val="18"/>
        </w:rPr>
        <w:t xml:space="preserve">Procurement authority is vested in the Commission pursuant to § 13(c) (2) of the Residential Real Property Seller Disclosure, Funeral Services Date Charge, and Public </w:t>
      </w:r>
      <w:r w:rsidR="001A32D1">
        <w:rPr>
          <w:sz w:val="18"/>
          <w:szCs w:val="18"/>
        </w:rPr>
        <w:t>Service</w:t>
      </w:r>
      <w:r w:rsidRPr="00A56BA9">
        <w:rPr>
          <w:sz w:val="18"/>
          <w:szCs w:val="18"/>
        </w:rPr>
        <w:t xml:space="preserve"> Commission Independent Procurement Authority Act of 1998 (D.C. Law 12-263).  The Commission is statutorily exempt from the D.C. procurement rules as set forth in D.C. Official Code § 1-1181 et seq.</w:t>
      </w:r>
      <w:r>
        <w:t xml:space="preserve">  </w:t>
      </w:r>
    </w:p>
    <w:p w14:paraId="7A225286" w14:textId="77777777" w:rsidR="00A56BA9" w:rsidRDefault="00A56BA9">
      <w:pPr>
        <w:pStyle w:val="EndnoteText"/>
      </w:pPr>
    </w:p>
    <w:p w14:paraId="11C4CEED" w14:textId="77777777" w:rsidR="00A56BA9" w:rsidRDefault="00A56BA9">
      <w:pPr>
        <w:pStyle w:val="EndnoteText"/>
        <w:rPr>
          <w:sz w:val="18"/>
          <w:szCs w:val="18"/>
        </w:rPr>
      </w:pPr>
      <w:r>
        <w:t xml:space="preserve">D.C. Code </w:t>
      </w:r>
      <w:r w:rsidRPr="00A56BA9">
        <w:rPr>
          <w:sz w:val="18"/>
          <w:szCs w:val="18"/>
        </w:rPr>
        <w:t>§</w:t>
      </w:r>
      <w:r>
        <w:rPr>
          <w:sz w:val="18"/>
          <w:szCs w:val="18"/>
        </w:rPr>
        <w:t xml:space="preserve"> 34-804, hereby established within the Public Service Commission of the District of Columbia, as established by D.C. Code </w:t>
      </w:r>
      <w:r w:rsidRPr="00A56BA9">
        <w:rPr>
          <w:sz w:val="18"/>
          <w:szCs w:val="18"/>
        </w:rPr>
        <w:t>§</w:t>
      </w:r>
      <w:r>
        <w:rPr>
          <w:sz w:val="18"/>
          <w:szCs w:val="18"/>
        </w:rPr>
        <w:t xml:space="preserve"> 34-801, as Office to be known as the “Office of the People’s Counsel.”  The Office shall be a party, as of right, in any investigation, valuation, revaluation, or proceeding of any nature by the Public Service Commission of or concerning a public utility operating in the District of Columbia.  </w:t>
      </w:r>
    </w:p>
    <w:p w14:paraId="46431178" w14:textId="77777777" w:rsidR="00A56BA9" w:rsidRDefault="00A56BA9">
      <w:pPr>
        <w:pStyle w:val="EndnoteText"/>
        <w:rPr>
          <w:sz w:val="18"/>
          <w:szCs w:val="18"/>
        </w:rPr>
      </w:pPr>
    </w:p>
    <w:p w14:paraId="16020B5A" w14:textId="77777777" w:rsidR="00A56BA9" w:rsidRDefault="00A56BA9">
      <w:pPr>
        <w:pStyle w:val="EndnoteText"/>
      </w:pPr>
      <w:r>
        <w:rPr>
          <w:sz w:val="18"/>
          <w:szCs w:val="18"/>
        </w:rPr>
        <w:t xml:space="preserve">15 D.C.M.R. </w:t>
      </w:r>
      <w:r w:rsidRPr="00A56BA9">
        <w:rPr>
          <w:sz w:val="18"/>
          <w:szCs w:val="18"/>
        </w:rPr>
        <w:t>§</w:t>
      </w:r>
      <w:r>
        <w:rPr>
          <w:sz w:val="18"/>
          <w:szCs w:val="18"/>
        </w:rPr>
        <w:t xml:space="preserve"> 3700: Public Utilities and Cable Television – Public Service Commission Rules of Practice and Procedure.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040B" w14:textId="77777777" w:rsidR="00B1307C" w:rsidRDefault="00B1307C" w:rsidP="00A56BA9">
      <w:pPr>
        <w:spacing w:after="0" w:line="240" w:lineRule="auto"/>
      </w:pPr>
      <w:r>
        <w:separator/>
      </w:r>
    </w:p>
  </w:footnote>
  <w:footnote w:type="continuationSeparator" w:id="0">
    <w:p w14:paraId="65204762" w14:textId="77777777" w:rsidR="00B1307C" w:rsidRDefault="00B1307C" w:rsidP="00A56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2C0C7"/>
    <w:multiLevelType w:val="hybridMultilevel"/>
    <w:tmpl w:val="65F2BA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C85BD0"/>
    <w:multiLevelType w:val="hybridMultilevel"/>
    <w:tmpl w:val="F37C5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50514"/>
    <w:multiLevelType w:val="hybridMultilevel"/>
    <w:tmpl w:val="E96C5BAA"/>
    <w:lvl w:ilvl="0" w:tplc="78FCC4E8">
      <w:start w:val="1"/>
      <w:numFmt w:val="bullet"/>
      <w:lvlText w:val=""/>
      <w:lvlJc w:val="left"/>
      <w:pPr>
        <w:ind w:left="2640" w:hanging="360"/>
      </w:pPr>
      <w:rPr>
        <w:rFonts w:ascii="Symbol" w:eastAsiaTheme="minorHAnsi"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15:restartNumberingAfterBreak="0">
    <w:nsid w:val="0D1E7359"/>
    <w:multiLevelType w:val="hybridMultilevel"/>
    <w:tmpl w:val="D062C3E4"/>
    <w:lvl w:ilvl="0" w:tplc="FFFFFFFF">
      <w:start w:val="1"/>
      <w:numFmt w:val="bullet"/>
      <w:lvlText w:val=""/>
      <w:lvlJc w:val="left"/>
      <w:pPr>
        <w:ind w:left="1080" w:hanging="360"/>
      </w:pPr>
      <w:rPr>
        <w:rFonts w:ascii="Symbol" w:eastAsiaTheme="minorHAnsi" w:hAnsi="Symbol" w:cs="Times New Roman" w:hint="default"/>
      </w:rPr>
    </w:lvl>
    <w:lvl w:ilvl="1" w:tplc="78FCC4E8">
      <w:start w:val="1"/>
      <w:numFmt w:val="bullet"/>
      <w:lvlText w:val=""/>
      <w:lvlJc w:val="left"/>
      <w:pPr>
        <w:ind w:left="1800" w:hanging="360"/>
      </w:pPr>
      <w:rPr>
        <w:rFonts w:ascii="Symbol" w:eastAsiaTheme="minorHAnsi" w:hAnsi="Symbol" w:cs="Times New Roman" w:hint="default"/>
      </w:rPr>
    </w:lvl>
    <w:lvl w:ilvl="2" w:tplc="FFFFFFFF">
      <w:start w:val="1"/>
      <w:numFmt w:val="bullet"/>
      <w:lvlText w:val=""/>
      <w:lvlJc w:val="left"/>
      <w:pPr>
        <w:ind w:left="2520" w:hanging="360"/>
      </w:pPr>
      <w:rPr>
        <w:rFonts w:ascii="Symbol" w:eastAsiaTheme="minorHAnsi" w:hAnsi="Symbol" w:cs="Times New Roman"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1A55679"/>
    <w:multiLevelType w:val="hybridMultilevel"/>
    <w:tmpl w:val="E9029AFA"/>
    <w:lvl w:ilvl="0" w:tplc="FFF639A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7EC1105"/>
    <w:multiLevelType w:val="hybridMultilevel"/>
    <w:tmpl w:val="4AFC197C"/>
    <w:lvl w:ilvl="0" w:tplc="78FCC4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4204D"/>
    <w:multiLevelType w:val="hybridMultilevel"/>
    <w:tmpl w:val="BF0E184E"/>
    <w:lvl w:ilvl="0" w:tplc="78FCC4E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53E5C"/>
    <w:multiLevelType w:val="hybridMultilevel"/>
    <w:tmpl w:val="00C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968F3"/>
    <w:multiLevelType w:val="hybridMultilevel"/>
    <w:tmpl w:val="242028FC"/>
    <w:lvl w:ilvl="0" w:tplc="78FCC4E8">
      <w:start w:val="1"/>
      <w:numFmt w:val="bullet"/>
      <w:lvlText w:val=""/>
      <w:lvlJc w:val="left"/>
      <w:pPr>
        <w:ind w:left="1080" w:hanging="360"/>
      </w:pPr>
      <w:rPr>
        <w:rFonts w:ascii="Symbol" w:eastAsiaTheme="minorHAnsi" w:hAnsi="Symbol" w:cs="Times New Roman" w:hint="default"/>
      </w:rPr>
    </w:lvl>
    <w:lvl w:ilvl="1" w:tplc="78FCC4E8">
      <w:start w:val="1"/>
      <w:numFmt w:val="bullet"/>
      <w:lvlText w:val=""/>
      <w:lvlJc w:val="left"/>
      <w:pPr>
        <w:ind w:left="1800" w:hanging="360"/>
      </w:pPr>
      <w:rPr>
        <w:rFonts w:ascii="Symbol" w:eastAsiaTheme="minorHAnsi" w:hAnsi="Symbol" w:cs="Times New Roman" w:hint="default"/>
      </w:rPr>
    </w:lvl>
    <w:lvl w:ilvl="2" w:tplc="78FCC4E8">
      <w:start w:val="1"/>
      <w:numFmt w:val="bullet"/>
      <w:lvlText w:val=""/>
      <w:lvlJc w:val="left"/>
      <w:pPr>
        <w:ind w:left="2520" w:hanging="360"/>
      </w:pPr>
      <w:rPr>
        <w:rFonts w:ascii="Symbol" w:eastAsiaTheme="minorHAnsi"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CE6561"/>
    <w:multiLevelType w:val="hybridMultilevel"/>
    <w:tmpl w:val="211453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147083D"/>
    <w:multiLevelType w:val="hybridMultilevel"/>
    <w:tmpl w:val="8AC6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391549">
    <w:abstractNumId w:val="8"/>
  </w:num>
  <w:num w:numId="2" w16cid:durableId="365720075">
    <w:abstractNumId w:val="5"/>
  </w:num>
  <w:num w:numId="3" w16cid:durableId="2054842656">
    <w:abstractNumId w:val="4"/>
  </w:num>
  <w:num w:numId="4" w16cid:durableId="1580485831">
    <w:abstractNumId w:val="0"/>
  </w:num>
  <w:num w:numId="5" w16cid:durableId="332874668">
    <w:abstractNumId w:val="1"/>
  </w:num>
  <w:num w:numId="6" w16cid:durableId="870411269">
    <w:abstractNumId w:val="7"/>
  </w:num>
  <w:num w:numId="7" w16cid:durableId="828014560">
    <w:abstractNumId w:val="2"/>
  </w:num>
  <w:num w:numId="8" w16cid:durableId="1822428078">
    <w:abstractNumId w:val="6"/>
  </w:num>
  <w:num w:numId="9" w16cid:durableId="755710458">
    <w:abstractNumId w:val="9"/>
  </w:num>
  <w:num w:numId="10" w16cid:durableId="1584726755">
    <w:abstractNumId w:val="3"/>
  </w:num>
  <w:num w:numId="11" w16cid:durableId="1347827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63"/>
    <w:rsid w:val="00002B44"/>
    <w:rsid w:val="000762EA"/>
    <w:rsid w:val="000B0717"/>
    <w:rsid w:val="0010234C"/>
    <w:rsid w:val="001459BC"/>
    <w:rsid w:val="00163067"/>
    <w:rsid w:val="00166B06"/>
    <w:rsid w:val="00185433"/>
    <w:rsid w:val="00191052"/>
    <w:rsid w:val="001A32D1"/>
    <w:rsid w:val="002154D7"/>
    <w:rsid w:val="00222F71"/>
    <w:rsid w:val="00276A1E"/>
    <w:rsid w:val="002A3FE4"/>
    <w:rsid w:val="002B5ECA"/>
    <w:rsid w:val="002B7E1B"/>
    <w:rsid w:val="002D2C39"/>
    <w:rsid w:val="00350BE0"/>
    <w:rsid w:val="003B157C"/>
    <w:rsid w:val="003B3960"/>
    <w:rsid w:val="003B5A63"/>
    <w:rsid w:val="003C006C"/>
    <w:rsid w:val="003C6794"/>
    <w:rsid w:val="003C7C0F"/>
    <w:rsid w:val="004411DB"/>
    <w:rsid w:val="00474D04"/>
    <w:rsid w:val="004920DE"/>
    <w:rsid w:val="004F4ACA"/>
    <w:rsid w:val="00535ED7"/>
    <w:rsid w:val="005509CE"/>
    <w:rsid w:val="0056363A"/>
    <w:rsid w:val="00584543"/>
    <w:rsid w:val="005D0298"/>
    <w:rsid w:val="00604058"/>
    <w:rsid w:val="006252E7"/>
    <w:rsid w:val="00652232"/>
    <w:rsid w:val="00656471"/>
    <w:rsid w:val="006662DB"/>
    <w:rsid w:val="006C0A9B"/>
    <w:rsid w:val="006E46E1"/>
    <w:rsid w:val="00721D0B"/>
    <w:rsid w:val="0073747E"/>
    <w:rsid w:val="0085524E"/>
    <w:rsid w:val="00917BC8"/>
    <w:rsid w:val="00976263"/>
    <w:rsid w:val="009C25C5"/>
    <w:rsid w:val="009C3F5A"/>
    <w:rsid w:val="00A147AC"/>
    <w:rsid w:val="00A46EA6"/>
    <w:rsid w:val="00A56BA9"/>
    <w:rsid w:val="00A8278B"/>
    <w:rsid w:val="00AA47E5"/>
    <w:rsid w:val="00B1307C"/>
    <w:rsid w:val="00B457C3"/>
    <w:rsid w:val="00BD0C1C"/>
    <w:rsid w:val="00BF07FD"/>
    <w:rsid w:val="00C169E7"/>
    <w:rsid w:val="00C3389C"/>
    <w:rsid w:val="00C57D8C"/>
    <w:rsid w:val="00CA45FB"/>
    <w:rsid w:val="00CC1CB9"/>
    <w:rsid w:val="00CF11E2"/>
    <w:rsid w:val="00D34F81"/>
    <w:rsid w:val="00D40367"/>
    <w:rsid w:val="00D934F9"/>
    <w:rsid w:val="00DF4629"/>
    <w:rsid w:val="00DF62F9"/>
    <w:rsid w:val="00E35977"/>
    <w:rsid w:val="00E73B97"/>
    <w:rsid w:val="00E76619"/>
    <w:rsid w:val="00F033B3"/>
    <w:rsid w:val="00F13BC2"/>
    <w:rsid w:val="00F5079D"/>
    <w:rsid w:val="00F5225C"/>
    <w:rsid w:val="00F65388"/>
    <w:rsid w:val="00FA17A4"/>
    <w:rsid w:val="00FA6977"/>
    <w:rsid w:val="00FF329F"/>
    <w:rsid w:val="04FEE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447E6"/>
  <w15:docId w15:val="{832B0941-32B6-4C97-88CC-47EEB6D0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63"/>
    <w:pPr>
      <w:ind w:left="720"/>
      <w:contextualSpacing/>
    </w:pPr>
  </w:style>
  <w:style w:type="paragraph" w:customStyle="1" w:styleId="Default">
    <w:name w:val="Default"/>
    <w:rsid w:val="002A3F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56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BA9"/>
    <w:rPr>
      <w:sz w:val="20"/>
      <w:szCs w:val="20"/>
    </w:rPr>
  </w:style>
  <w:style w:type="character" w:styleId="FootnoteReference">
    <w:name w:val="footnote reference"/>
    <w:basedOn w:val="DefaultParagraphFont"/>
    <w:uiPriority w:val="99"/>
    <w:semiHidden/>
    <w:unhideWhenUsed/>
    <w:rsid w:val="00A56BA9"/>
    <w:rPr>
      <w:vertAlign w:val="superscript"/>
    </w:rPr>
  </w:style>
  <w:style w:type="paragraph" w:styleId="EndnoteText">
    <w:name w:val="endnote text"/>
    <w:basedOn w:val="Normal"/>
    <w:link w:val="EndnoteTextChar"/>
    <w:uiPriority w:val="99"/>
    <w:semiHidden/>
    <w:unhideWhenUsed/>
    <w:rsid w:val="00A56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BA9"/>
    <w:rPr>
      <w:sz w:val="20"/>
      <w:szCs w:val="20"/>
    </w:rPr>
  </w:style>
  <w:style w:type="character" w:styleId="EndnoteReference">
    <w:name w:val="endnote reference"/>
    <w:basedOn w:val="DefaultParagraphFont"/>
    <w:uiPriority w:val="99"/>
    <w:semiHidden/>
    <w:unhideWhenUsed/>
    <w:rsid w:val="00A56BA9"/>
    <w:rPr>
      <w:vertAlign w:val="superscript"/>
    </w:rPr>
  </w:style>
  <w:style w:type="paragraph" w:styleId="BalloonText">
    <w:name w:val="Balloon Text"/>
    <w:basedOn w:val="Normal"/>
    <w:link w:val="BalloonTextChar"/>
    <w:uiPriority w:val="99"/>
    <w:semiHidden/>
    <w:unhideWhenUsed/>
    <w:rsid w:val="00C33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89C"/>
    <w:rPr>
      <w:rFonts w:ascii="Tahoma" w:hAnsi="Tahoma" w:cs="Tahoma"/>
      <w:sz w:val="16"/>
      <w:szCs w:val="16"/>
    </w:rPr>
  </w:style>
  <w:style w:type="paragraph" w:styleId="NoSpacing">
    <w:name w:val="No Spacing"/>
    <w:uiPriority w:val="1"/>
    <w:qFormat/>
    <w:rsid w:val="00584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4D3E5-11C4-435F-99BE-C6DB60B7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4329</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gargr</dc:creator>
  <cp:lastModifiedBy>Naunihal Sigh Gumer</cp:lastModifiedBy>
  <cp:revision>3</cp:revision>
  <dcterms:created xsi:type="dcterms:W3CDTF">2024-03-12T19:00:00Z</dcterms:created>
  <dcterms:modified xsi:type="dcterms:W3CDTF">2024-03-12T19:01:00Z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d54d67ba0c0f515cdf6c0c8df3af0fdf893eda48ebb4f1aef91e9a26ec7764ef</vt:lpwstr>
  </property>
</Properties>
</file>