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289A" w14:textId="77777777" w:rsidR="00394BF9" w:rsidRPr="00E35977" w:rsidRDefault="00976263" w:rsidP="00976263">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DETERMINATION AND FINDINGS</w:t>
      </w:r>
    </w:p>
    <w:p w14:paraId="0F1C562B" w14:textId="77777777" w:rsidR="00976263" w:rsidRPr="00E35977" w:rsidRDefault="00976263" w:rsidP="00976263">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FOR</w:t>
      </w:r>
    </w:p>
    <w:p w14:paraId="4D226844" w14:textId="77777777" w:rsidR="00976263" w:rsidRPr="00E35977" w:rsidRDefault="00976263" w:rsidP="00976263">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SOLE SOURCE PROCUREMENT</w:t>
      </w:r>
    </w:p>
    <w:p w14:paraId="3C06DED5" w14:textId="77777777" w:rsidR="00976263" w:rsidRPr="00E35977" w:rsidRDefault="00976263" w:rsidP="00976263">
      <w:pPr>
        <w:spacing w:line="240" w:lineRule="auto"/>
        <w:contextualSpacing/>
        <w:jc w:val="center"/>
        <w:rPr>
          <w:rFonts w:ascii="Times New Roman" w:hAnsi="Times New Roman" w:cs="Times New Roman"/>
          <w:b/>
          <w:sz w:val="24"/>
          <w:szCs w:val="24"/>
        </w:rPr>
      </w:pPr>
    </w:p>
    <w:p w14:paraId="6E9F5AF5" w14:textId="77777777" w:rsidR="00976263" w:rsidRPr="00E35977" w:rsidRDefault="00976263" w:rsidP="00976263">
      <w:pPr>
        <w:spacing w:line="240" w:lineRule="auto"/>
        <w:contextualSpacing/>
        <w:rPr>
          <w:rFonts w:ascii="Times New Roman" w:hAnsi="Times New Roman" w:cs="Times New Roman"/>
          <w:b/>
          <w:sz w:val="24"/>
          <w:szCs w:val="24"/>
          <w:u w:val="single"/>
        </w:rPr>
      </w:pPr>
      <w:r w:rsidRPr="00E35977">
        <w:rPr>
          <w:rFonts w:ascii="Times New Roman" w:hAnsi="Times New Roman" w:cs="Times New Roman"/>
          <w:sz w:val="24"/>
          <w:szCs w:val="24"/>
        </w:rPr>
        <w:t xml:space="preserve">1.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Authorization</w:t>
      </w:r>
      <w:r w:rsidR="00A56BA9" w:rsidRPr="00E35977">
        <w:rPr>
          <w:rStyle w:val="EndnoteReference"/>
          <w:rFonts w:ascii="Times New Roman" w:hAnsi="Times New Roman" w:cs="Times New Roman"/>
          <w:b/>
          <w:sz w:val="24"/>
          <w:szCs w:val="24"/>
          <w:u w:val="single"/>
        </w:rPr>
        <w:endnoteReference w:id="1"/>
      </w:r>
    </w:p>
    <w:p w14:paraId="72715114" w14:textId="77777777" w:rsidR="00976263" w:rsidRPr="00E35977" w:rsidRDefault="00976263" w:rsidP="00976263">
      <w:pPr>
        <w:pStyle w:val="ListParagraph"/>
        <w:numPr>
          <w:ilvl w:val="0"/>
          <w:numId w:val="1"/>
        </w:numPr>
        <w:spacing w:line="240" w:lineRule="auto"/>
        <w:rPr>
          <w:rFonts w:ascii="Times New Roman" w:hAnsi="Times New Roman" w:cs="Times New Roman"/>
          <w:sz w:val="24"/>
          <w:szCs w:val="24"/>
        </w:rPr>
      </w:pPr>
      <w:r w:rsidRPr="00E35977">
        <w:rPr>
          <w:rFonts w:ascii="Times New Roman" w:hAnsi="Times New Roman" w:cs="Times New Roman"/>
          <w:sz w:val="24"/>
          <w:szCs w:val="24"/>
        </w:rPr>
        <w:t>D.C. Code § 34-801</w:t>
      </w:r>
    </w:p>
    <w:p w14:paraId="004051A6" w14:textId="77777777" w:rsidR="00976263" w:rsidRPr="00E35977" w:rsidRDefault="00976263" w:rsidP="00976263">
      <w:pPr>
        <w:pStyle w:val="ListParagraph"/>
        <w:numPr>
          <w:ilvl w:val="0"/>
          <w:numId w:val="1"/>
        </w:numPr>
        <w:spacing w:line="240" w:lineRule="auto"/>
        <w:rPr>
          <w:rFonts w:ascii="Times New Roman" w:hAnsi="Times New Roman" w:cs="Times New Roman"/>
          <w:sz w:val="24"/>
          <w:szCs w:val="24"/>
        </w:rPr>
      </w:pPr>
      <w:r w:rsidRPr="00E35977">
        <w:rPr>
          <w:rFonts w:ascii="Times New Roman" w:hAnsi="Times New Roman" w:cs="Times New Roman"/>
          <w:sz w:val="24"/>
          <w:szCs w:val="24"/>
        </w:rPr>
        <w:t>D.C. Code § 34-804</w:t>
      </w:r>
    </w:p>
    <w:p w14:paraId="3E88F7A4" w14:textId="77777777" w:rsidR="00976263" w:rsidRPr="00E35977" w:rsidRDefault="00976263" w:rsidP="00976263">
      <w:pPr>
        <w:pStyle w:val="ListParagraph"/>
        <w:numPr>
          <w:ilvl w:val="0"/>
          <w:numId w:val="1"/>
        </w:numPr>
        <w:spacing w:line="240" w:lineRule="auto"/>
        <w:rPr>
          <w:rFonts w:ascii="Times New Roman" w:hAnsi="Times New Roman" w:cs="Times New Roman"/>
          <w:sz w:val="24"/>
          <w:szCs w:val="24"/>
        </w:rPr>
      </w:pPr>
      <w:r w:rsidRPr="00E35977">
        <w:rPr>
          <w:rFonts w:ascii="Times New Roman" w:hAnsi="Times New Roman" w:cs="Times New Roman"/>
          <w:sz w:val="24"/>
          <w:szCs w:val="24"/>
        </w:rPr>
        <w:t>15 D.C.M.R. § 3700</w:t>
      </w:r>
    </w:p>
    <w:p w14:paraId="27911A1C" w14:textId="77777777" w:rsidR="00976263" w:rsidRPr="00E35977" w:rsidRDefault="00976263" w:rsidP="00976263">
      <w:pPr>
        <w:spacing w:line="240" w:lineRule="auto"/>
        <w:rPr>
          <w:rFonts w:ascii="Times New Roman" w:hAnsi="Times New Roman" w:cs="Times New Roman"/>
          <w:b/>
          <w:sz w:val="24"/>
          <w:szCs w:val="24"/>
          <w:u w:val="single"/>
        </w:rPr>
      </w:pPr>
      <w:r w:rsidRPr="00E35977">
        <w:rPr>
          <w:rFonts w:ascii="Times New Roman" w:hAnsi="Times New Roman" w:cs="Times New Roman"/>
          <w:sz w:val="24"/>
          <w:szCs w:val="24"/>
        </w:rPr>
        <w:t xml:space="preserve">2.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Minimum Need</w:t>
      </w:r>
    </w:p>
    <w:p w14:paraId="04A369A2" w14:textId="16481A4D" w:rsidR="003C6794" w:rsidRPr="00E35977" w:rsidRDefault="00976263" w:rsidP="0085524E">
      <w:pPr>
        <w:spacing w:line="240" w:lineRule="auto"/>
        <w:jc w:val="both"/>
        <w:rPr>
          <w:rFonts w:ascii="Times New Roman" w:hAnsi="Times New Roman" w:cs="Times New Roman"/>
          <w:sz w:val="24"/>
          <w:szCs w:val="24"/>
        </w:rPr>
      </w:pPr>
      <w:r w:rsidRPr="00E35977">
        <w:rPr>
          <w:rFonts w:ascii="Times New Roman" w:hAnsi="Times New Roman" w:cs="Times New Roman"/>
          <w:sz w:val="24"/>
          <w:szCs w:val="24"/>
        </w:rPr>
        <w:tab/>
        <w:t xml:space="preserve">The Office of the People’s Counsel </w:t>
      </w:r>
      <w:r w:rsidR="00E76619">
        <w:rPr>
          <w:rFonts w:ascii="Times New Roman" w:hAnsi="Times New Roman" w:cs="Times New Roman"/>
          <w:sz w:val="24"/>
          <w:szCs w:val="24"/>
        </w:rPr>
        <w:t xml:space="preserve">for the District of Columbia </w:t>
      </w:r>
      <w:r w:rsidR="004920DE" w:rsidRPr="00E35977">
        <w:rPr>
          <w:rFonts w:ascii="Times New Roman" w:hAnsi="Times New Roman" w:cs="Times New Roman"/>
          <w:sz w:val="24"/>
          <w:szCs w:val="24"/>
        </w:rPr>
        <w:t xml:space="preserve">(“OPC” or “Office”) </w:t>
      </w:r>
      <w:r w:rsidRPr="00E35977">
        <w:rPr>
          <w:rFonts w:ascii="Times New Roman" w:hAnsi="Times New Roman" w:cs="Times New Roman"/>
          <w:sz w:val="24"/>
          <w:szCs w:val="24"/>
        </w:rPr>
        <w:t>requests the serv</w:t>
      </w:r>
      <w:r w:rsidR="003C6794" w:rsidRPr="00E35977">
        <w:rPr>
          <w:rFonts w:ascii="Times New Roman" w:hAnsi="Times New Roman" w:cs="Times New Roman"/>
          <w:sz w:val="24"/>
          <w:szCs w:val="24"/>
        </w:rPr>
        <w:t>ices of Wilson Energy Economics in two tasks</w:t>
      </w:r>
      <w:r w:rsidR="00F13BC2" w:rsidRPr="00E35977">
        <w:rPr>
          <w:rFonts w:ascii="Times New Roman" w:hAnsi="Times New Roman" w:cs="Times New Roman"/>
          <w:sz w:val="24"/>
          <w:szCs w:val="24"/>
        </w:rPr>
        <w:t xml:space="preserve"> or tracks</w:t>
      </w:r>
      <w:r w:rsidR="00E73B97">
        <w:rPr>
          <w:rFonts w:ascii="Times New Roman" w:hAnsi="Times New Roman" w:cs="Times New Roman"/>
          <w:sz w:val="24"/>
          <w:szCs w:val="24"/>
        </w:rPr>
        <w:t xml:space="preserve"> for </w:t>
      </w:r>
      <w:r w:rsidR="006252E7">
        <w:rPr>
          <w:rFonts w:ascii="Times New Roman" w:hAnsi="Times New Roman" w:cs="Times New Roman"/>
          <w:sz w:val="24"/>
          <w:szCs w:val="24"/>
        </w:rPr>
        <w:t>F</w:t>
      </w:r>
      <w:r w:rsidR="00E73B97">
        <w:rPr>
          <w:rFonts w:ascii="Times New Roman" w:hAnsi="Times New Roman" w:cs="Times New Roman"/>
          <w:sz w:val="24"/>
          <w:szCs w:val="24"/>
        </w:rPr>
        <w:t xml:space="preserve">iscal </w:t>
      </w:r>
      <w:r w:rsidR="006252E7">
        <w:rPr>
          <w:rFonts w:ascii="Times New Roman" w:hAnsi="Times New Roman" w:cs="Times New Roman"/>
          <w:sz w:val="24"/>
          <w:szCs w:val="24"/>
        </w:rPr>
        <w:t>Y</w:t>
      </w:r>
      <w:r w:rsidR="00E73B97">
        <w:rPr>
          <w:rFonts w:ascii="Times New Roman" w:hAnsi="Times New Roman" w:cs="Times New Roman"/>
          <w:sz w:val="24"/>
          <w:szCs w:val="24"/>
        </w:rPr>
        <w:t>ear 202</w:t>
      </w:r>
      <w:r w:rsidR="00584543">
        <w:rPr>
          <w:rFonts w:ascii="Times New Roman" w:hAnsi="Times New Roman" w:cs="Times New Roman"/>
          <w:sz w:val="24"/>
          <w:szCs w:val="24"/>
        </w:rPr>
        <w:t>4</w:t>
      </w:r>
      <w:r w:rsidR="003C6794" w:rsidRPr="00E35977">
        <w:rPr>
          <w:rFonts w:ascii="Times New Roman" w:hAnsi="Times New Roman" w:cs="Times New Roman"/>
          <w:sz w:val="24"/>
          <w:szCs w:val="24"/>
        </w:rPr>
        <w:t xml:space="preserve">. The first task </w:t>
      </w:r>
      <w:r w:rsidR="00F13BC2" w:rsidRPr="00E35977">
        <w:rPr>
          <w:rFonts w:ascii="Times New Roman" w:hAnsi="Times New Roman" w:cs="Times New Roman"/>
          <w:sz w:val="24"/>
          <w:szCs w:val="24"/>
        </w:rPr>
        <w:t xml:space="preserve">or track </w:t>
      </w:r>
      <w:r w:rsidR="003C6794" w:rsidRPr="00E35977">
        <w:rPr>
          <w:rFonts w:ascii="Times New Roman" w:hAnsi="Times New Roman" w:cs="Times New Roman"/>
          <w:sz w:val="24"/>
          <w:szCs w:val="24"/>
        </w:rPr>
        <w:t>is jointly funded with other consumer advocates (“Participating Consumer Advocates”) pertaining to the PJM markets</w:t>
      </w:r>
      <w:r w:rsidR="00DF4629">
        <w:rPr>
          <w:rFonts w:ascii="Times New Roman" w:hAnsi="Times New Roman" w:cs="Times New Roman"/>
          <w:sz w:val="24"/>
          <w:szCs w:val="24"/>
        </w:rPr>
        <w:t xml:space="preserve">, and regulatory proceedings before the </w:t>
      </w:r>
      <w:r w:rsidR="004920DE">
        <w:rPr>
          <w:rFonts w:ascii="Times New Roman" w:hAnsi="Times New Roman" w:cs="Times New Roman"/>
          <w:sz w:val="24"/>
          <w:szCs w:val="24"/>
        </w:rPr>
        <w:t>Federal Energy Regulatory Commi</w:t>
      </w:r>
      <w:r w:rsidR="003C006C">
        <w:rPr>
          <w:rFonts w:ascii="Times New Roman" w:hAnsi="Times New Roman" w:cs="Times New Roman"/>
          <w:sz w:val="24"/>
          <w:szCs w:val="24"/>
        </w:rPr>
        <w:t>ssion</w:t>
      </w:r>
      <w:r w:rsidR="004920DE">
        <w:rPr>
          <w:rFonts w:ascii="Times New Roman" w:hAnsi="Times New Roman" w:cs="Times New Roman"/>
          <w:sz w:val="24"/>
          <w:szCs w:val="24"/>
        </w:rPr>
        <w:t xml:space="preserve"> (“</w:t>
      </w:r>
      <w:r w:rsidR="00DF4629">
        <w:rPr>
          <w:rFonts w:ascii="Times New Roman" w:hAnsi="Times New Roman" w:cs="Times New Roman"/>
          <w:sz w:val="24"/>
          <w:szCs w:val="24"/>
        </w:rPr>
        <w:t>FERC</w:t>
      </w:r>
      <w:r w:rsidR="004920DE">
        <w:rPr>
          <w:rFonts w:ascii="Times New Roman" w:hAnsi="Times New Roman" w:cs="Times New Roman"/>
          <w:sz w:val="24"/>
          <w:szCs w:val="24"/>
        </w:rPr>
        <w:t>”)</w:t>
      </w:r>
      <w:r w:rsidR="003C6794" w:rsidRPr="00E35977">
        <w:rPr>
          <w:rFonts w:ascii="Times New Roman" w:hAnsi="Times New Roman" w:cs="Times New Roman"/>
          <w:sz w:val="24"/>
          <w:szCs w:val="24"/>
        </w:rPr>
        <w:t xml:space="preserve">. The second </w:t>
      </w:r>
      <w:r w:rsidR="00F13BC2" w:rsidRPr="00E35977">
        <w:rPr>
          <w:rFonts w:ascii="Times New Roman" w:hAnsi="Times New Roman" w:cs="Times New Roman"/>
          <w:sz w:val="24"/>
          <w:szCs w:val="24"/>
        </w:rPr>
        <w:t xml:space="preserve">task or track </w:t>
      </w:r>
      <w:r w:rsidR="003C6794" w:rsidRPr="00E35977">
        <w:rPr>
          <w:rFonts w:ascii="Times New Roman" w:hAnsi="Times New Roman" w:cs="Times New Roman"/>
          <w:sz w:val="24"/>
          <w:szCs w:val="24"/>
        </w:rPr>
        <w:t xml:space="preserve">involves </w:t>
      </w:r>
      <w:r w:rsidR="00F13BC2" w:rsidRPr="00E35977">
        <w:rPr>
          <w:rFonts w:ascii="Times New Roman" w:hAnsi="Times New Roman" w:cs="Times New Roman"/>
          <w:sz w:val="24"/>
          <w:szCs w:val="24"/>
        </w:rPr>
        <w:t>projects specifically</w:t>
      </w:r>
      <w:r w:rsidR="003C6794" w:rsidRPr="00E35977">
        <w:rPr>
          <w:rFonts w:ascii="Times New Roman" w:hAnsi="Times New Roman" w:cs="Times New Roman"/>
          <w:sz w:val="24"/>
          <w:szCs w:val="24"/>
        </w:rPr>
        <w:t xml:space="preserve"> requested by OPC</w:t>
      </w:r>
      <w:r w:rsidR="00F13BC2" w:rsidRPr="00E35977">
        <w:rPr>
          <w:rFonts w:ascii="Times New Roman" w:hAnsi="Times New Roman" w:cs="Times New Roman"/>
          <w:sz w:val="24"/>
          <w:szCs w:val="24"/>
        </w:rPr>
        <w:t>, as needed</w:t>
      </w:r>
      <w:r w:rsidR="003C6794" w:rsidRPr="00E35977">
        <w:rPr>
          <w:rFonts w:ascii="Times New Roman" w:hAnsi="Times New Roman" w:cs="Times New Roman"/>
          <w:sz w:val="24"/>
          <w:szCs w:val="24"/>
        </w:rPr>
        <w:t>.</w:t>
      </w:r>
    </w:p>
    <w:p w14:paraId="0C182DF1" w14:textId="77777777" w:rsidR="00976263" w:rsidRPr="00E35977" w:rsidRDefault="00976263" w:rsidP="00976263">
      <w:pPr>
        <w:spacing w:line="240" w:lineRule="auto"/>
        <w:rPr>
          <w:rFonts w:ascii="Times New Roman" w:hAnsi="Times New Roman" w:cs="Times New Roman"/>
          <w:b/>
          <w:sz w:val="24"/>
          <w:szCs w:val="24"/>
          <w:u w:val="single"/>
        </w:rPr>
      </w:pPr>
      <w:r w:rsidRPr="00E35977">
        <w:rPr>
          <w:rFonts w:ascii="Times New Roman" w:hAnsi="Times New Roman" w:cs="Times New Roman"/>
          <w:sz w:val="24"/>
          <w:szCs w:val="24"/>
        </w:rPr>
        <w:t xml:space="preserve">3.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Estimated Fair and Reasonable Price</w:t>
      </w:r>
    </w:p>
    <w:p w14:paraId="16A731F9" w14:textId="1224F425" w:rsidR="00FF329F" w:rsidRPr="004F4ACA" w:rsidRDefault="00F13BC2" w:rsidP="0085524E">
      <w:pPr>
        <w:spacing w:line="240" w:lineRule="auto"/>
        <w:ind w:firstLine="720"/>
        <w:jc w:val="both"/>
        <w:rPr>
          <w:rFonts w:ascii="Times New Roman" w:hAnsi="Times New Roman" w:cs="Times New Roman"/>
          <w:b/>
          <w:sz w:val="24"/>
          <w:szCs w:val="24"/>
          <w:u w:val="single"/>
        </w:rPr>
      </w:pPr>
      <w:r w:rsidRPr="00E35977">
        <w:rPr>
          <w:rFonts w:ascii="Times New Roman" w:hAnsi="Times New Roman" w:cs="Times New Roman"/>
          <w:sz w:val="24"/>
          <w:szCs w:val="24"/>
        </w:rPr>
        <w:t>The total cont</w:t>
      </w:r>
      <w:r w:rsidR="00BF07FD">
        <w:rPr>
          <w:rFonts w:ascii="Times New Roman" w:hAnsi="Times New Roman" w:cs="Times New Roman"/>
          <w:sz w:val="24"/>
          <w:szCs w:val="24"/>
        </w:rPr>
        <w:t xml:space="preserve">ract </w:t>
      </w:r>
      <w:r w:rsidR="000B2C34">
        <w:rPr>
          <w:rFonts w:ascii="Times New Roman" w:hAnsi="Times New Roman" w:cs="Times New Roman"/>
          <w:sz w:val="24"/>
          <w:szCs w:val="24"/>
        </w:rPr>
        <w:t>not–to–exceed</w:t>
      </w:r>
      <w:r w:rsidR="00BF07FD">
        <w:rPr>
          <w:rFonts w:ascii="Times New Roman" w:hAnsi="Times New Roman" w:cs="Times New Roman"/>
          <w:sz w:val="24"/>
          <w:szCs w:val="24"/>
        </w:rPr>
        <w:t xml:space="preserve"> price is </w:t>
      </w:r>
      <w:r w:rsidR="00BF07FD" w:rsidRPr="00E76619">
        <w:rPr>
          <w:rFonts w:ascii="Times New Roman" w:hAnsi="Times New Roman" w:cs="Times New Roman"/>
          <w:b/>
          <w:bCs/>
          <w:sz w:val="24"/>
          <w:szCs w:val="24"/>
          <w:u w:val="single"/>
        </w:rPr>
        <w:t>$</w:t>
      </w:r>
      <w:r w:rsidR="00185433" w:rsidRPr="00E76619">
        <w:rPr>
          <w:rFonts w:ascii="Times New Roman" w:hAnsi="Times New Roman" w:cs="Times New Roman"/>
          <w:b/>
          <w:bCs/>
          <w:sz w:val="24"/>
          <w:szCs w:val="24"/>
          <w:u w:val="single"/>
        </w:rPr>
        <w:t>25</w:t>
      </w:r>
      <w:r w:rsidRPr="00E76619">
        <w:rPr>
          <w:rFonts w:ascii="Times New Roman" w:hAnsi="Times New Roman" w:cs="Times New Roman"/>
          <w:b/>
          <w:bCs/>
          <w:sz w:val="24"/>
          <w:szCs w:val="24"/>
          <w:u w:val="single"/>
        </w:rPr>
        <w:t>,000</w:t>
      </w:r>
      <w:r w:rsidRPr="00E35977">
        <w:rPr>
          <w:rFonts w:ascii="Times New Roman" w:hAnsi="Times New Roman" w:cs="Times New Roman"/>
          <w:sz w:val="24"/>
          <w:szCs w:val="24"/>
        </w:rPr>
        <w:t xml:space="preserve">. This </w:t>
      </w:r>
      <w:r w:rsidR="0056363A" w:rsidRPr="00E35977">
        <w:rPr>
          <w:rFonts w:ascii="Times New Roman" w:hAnsi="Times New Roman" w:cs="Times New Roman"/>
          <w:sz w:val="24"/>
          <w:szCs w:val="24"/>
        </w:rPr>
        <w:t xml:space="preserve">contract </w:t>
      </w:r>
      <w:r w:rsidRPr="00E35977">
        <w:rPr>
          <w:rFonts w:ascii="Times New Roman" w:hAnsi="Times New Roman" w:cs="Times New Roman"/>
          <w:sz w:val="24"/>
          <w:szCs w:val="24"/>
        </w:rPr>
        <w:t xml:space="preserve">price is allocated </w:t>
      </w:r>
      <w:r w:rsidR="0056363A" w:rsidRPr="00E35977">
        <w:rPr>
          <w:rFonts w:ascii="Times New Roman" w:hAnsi="Times New Roman" w:cs="Times New Roman"/>
          <w:sz w:val="24"/>
          <w:szCs w:val="24"/>
        </w:rPr>
        <w:t>for two tasks</w:t>
      </w:r>
      <w:r w:rsidRPr="00E35977">
        <w:rPr>
          <w:rFonts w:ascii="Times New Roman" w:hAnsi="Times New Roman" w:cs="Times New Roman"/>
          <w:sz w:val="24"/>
          <w:szCs w:val="24"/>
        </w:rPr>
        <w:t>. The not-to-exceed budget for work unde</w:t>
      </w:r>
      <w:r w:rsidR="00BF07FD">
        <w:rPr>
          <w:rFonts w:ascii="Times New Roman" w:hAnsi="Times New Roman" w:cs="Times New Roman"/>
          <w:sz w:val="24"/>
          <w:szCs w:val="24"/>
        </w:rPr>
        <w:t xml:space="preserve">r </w:t>
      </w:r>
      <w:r w:rsidR="00E76619">
        <w:rPr>
          <w:rFonts w:ascii="Times New Roman" w:hAnsi="Times New Roman" w:cs="Times New Roman"/>
          <w:sz w:val="24"/>
          <w:szCs w:val="24"/>
        </w:rPr>
        <w:t>T</w:t>
      </w:r>
      <w:r w:rsidR="00BF07FD">
        <w:rPr>
          <w:rFonts w:ascii="Times New Roman" w:hAnsi="Times New Roman" w:cs="Times New Roman"/>
          <w:sz w:val="24"/>
          <w:szCs w:val="24"/>
        </w:rPr>
        <w:t>ask 1 of this contract is $</w:t>
      </w:r>
      <w:r w:rsidR="00185433">
        <w:rPr>
          <w:rFonts w:ascii="Times New Roman" w:hAnsi="Times New Roman" w:cs="Times New Roman"/>
          <w:sz w:val="24"/>
          <w:szCs w:val="24"/>
        </w:rPr>
        <w:t>15</w:t>
      </w:r>
      <w:r w:rsidRPr="00E35977">
        <w:rPr>
          <w:rFonts w:ascii="Times New Roman" w:hAnsi="Times New Roman" w:cs="Times New Roman"/>
          <w:sz w:val="24"/>
          <w:szCs w:val="24"/>
        </w:rPr>
        <w:t>,000. The not-to-exceed budget for work unde</w:t>
      </w:r>
      <w:r w:rsidR="006C0A9B">
        <w:rPr>
          <w:rFonts w:ascii="Times New Roman" w:hAnsi="Times New Roman" w:cs="Times New Roman"/>
          <w:sz w:val="24"/>
          <w:szCs w:val="24"/>
        </w:rPr>
        <w:t xml:space="preserve">r </w:t>
      </w:r>
      <w:r w:rsidR="00E76619">
        <w:rPr>
          <w:rFonts w:ascii="Times New Roman" w:hAnsi="Times New Roman" w:cs="Times New Roman"/>
          <w:sz w:val="24"/>
          <w:szCs w:val="24"/>
        </w:rPr>
        <w:t>T</w:t>
      </w:r>
      <w:r w:rsidR="006C0A9B">
        <w:rPr>
          <w:rFonts w:ascii="Times New Roman" w:hAnsi="Times New Roman" w:cs="Times New Roman"/>
          <w:sz w:val="24"/>
          <w:szCs w:val="24"/>
        </w:rPr>
        <w:t xml:space="preserve">ask 2 of this </w:t>
      </w:r>
      <w:r w:rsidR="00BF07FD">
        <w:rPr>
          <w:rFonts w:ascii="Times New Roman" w:hAnsi="Times New Roman" w:cs="Times New Roman"/>
          <w:sz w:val="24"/>
          <w:szCs w:val="24"/>
        </w:rPr>
        <w:t>contract is $10</w:t>
      </w:r>
      <w:r w:rsidRPr="00E35977">
        <w:rPr>
          <w:rFonts w:ascii="Times New Roman" w:hAnsi="Times New Roman" w:cs="Times New Roman"/>
          <w:sz w:val="24"/>
          <w:szCs w:val="24"/>
        </w:rPr>
        <w:t xml:space="preserve">,000. </w:t>
      </w:r>
    </w:p>
    <w:p w14:paraId="2734D282" w14:textId="77777777" w:rsidR="00FF329F" w:rsidRPr="00E35977" w:rsidRDefault="00FF329F" w:rsidP="00976263">
      <w:pPr>
        <w:spacing w:line="240" w:lineRule="auto"/>
        <w:rPr>
          <w:rFonts w:ascii="Times New Roman" w:hAnsi="Times New Roman" w:cs="Times New Roman"/>
          <w:b/>
          <w:sz w:val="24"/>
          <w:szCs w:val="24"/>
          <w:u w:val="single"/>
        </w:rPr>
      </w:pPr>
      <w:r w:rsidRPr="00E35977">
        <w:rPr>
          <w:rFonts w:ascii="Times New Roman" w:hAnsi="Times New Roman" w:cs="Times New Roman"/>
          <w:sz w:val="24"/>
          <w:szCs w:val="24"/>
        </w:rPr>
        <w:t>4.</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Facts That Justify a Sole Source Procurement</w:t>
      </w:r>
    </w:p>
    <w:p w14:paraId="307C8FC8" w14:textId="45DB8BBD" w:rsidR="00FF329F" w:rsidRPr="00E35977" w:rsidRDefault="04FEEF46" w:rsidP="002154D7">
      <w:pPr>
        <w:spacing w:line="240" w:lineRule="auto"/>
        <w:ind w:left="1440" w:hanging="720"/>
        <w:jc w:val="both"/>
        <w:rPr>
          <w:rFonts w:ascii="Times New Roman" w:hAnsi="Times New Roman" w:cs="Times New Roman"/>
          <w:sz w:val="24"/>
          <w:szCs w:val="24"/>
        </w:rPr>
      </w:pPr>
      <w:r w:rsidRPr="04FEEF46">
        <w:rPr>
          <w:rFonts w:ascii="Times New Roman" w:hAnsi="Times New Roman" w:cs="Times New Roman"/>
          <w:sz w:val="24"/>
          <w:szCs w:val="24"/>
        </w:rPr>
        <w:t xml:space="preserve">A. </w:t>
      </w:r>
      <w:r w:rsidR="00FF329F">
        <w:tab/>
      </w:r>
      <w:r w:rsidRPr="04FEEF46">
        <w:rPr>
          <w:rFonts w:ascii="Times New Roman" w:hAnsi="Times New Roman" w:cs="Times New Roman"/>
          <w:sz w:val="24"/>
          <w:szCs w:val="24"/>
        </w:rPr>
        <w:t>The Office of the People’s Counsel for the District of Columbia is an independent agency of the District of Columbia government.  By law, it is the advocate for consumers of natural gas, electric</w:t>
      </w:r>
      <w:r w:rsidR="00A07D36">
        <w:rPr>
          <w:rFonts w:ascii="Times New Roman" w:hAnsi="Times New Roman" w:cs="Times New Roman"/>
          <w:sz w:val="24"/>
          <w:szCs w:val="24"/>
        </w:rPr>
        <w:t>,</w:t>
      </w:r>
      <w:r w:rsidRPr="04FEEF46">
        <w:rPr>
          <w:rFonts w:ascii="Times New Roman" w:hAnsi="Times New Roman" w:cs="Times New Roman"/>
          <w:sz w:val="24"/>
          <w:szCs w:val="24"/>
        </w:rPr>
        <w:t xml:space="preserve"> and telephone services in the </w:t>
      </w:r>
      <w:proofErr w:type="gramStart"/>
      <w:r w:rsidRPr="04FEEF46">
        <w:rPr>
          <w:rFonts w:ascii="Times New Roman" w:hAnsi="Times New Roman" w:cs="Times New Roman"/>
          <w:sz w:val="24"/>
          <w:szCs w:val="24"/>
        </w:rPr>
        <w:t>District</w:t>
      </w:r>
      <w:proofErr w:type="gramEnd"/>
      <w:r w:rsidRPr="04FEEF46">
        <w:rPr>
          <w:rFonts w:ascii="Times New Roman" w:hAnsi="Times New Roman" w:cs="Times New Roman"/>
          <w:sz w:val="24"/>
          <w:szCs w:val="24"/>
        </w:rPr>
        <w:t xml:space="preserve">.  District of Columbia law designates the Office as a party to all utility-related proceedings before the Public Service Commission.  The Office also represents the interests of District ratepayers before federal regulatory agencies.  The Office is authorized to investigate the operation and valuation of utility companies independently of any pending proceedings.  </w:t>
      </w:r>
    </w:p>
    <w:p w14:paraId="75195D63" w14:textId="77777777" w:rsidR="00B457C3" w:rsidRDefault="00FF329F" w:rsidP="0085524E">
      <w:pPr>
        <w:spacing w:line="240" w:lineRule="auto"/>
        <w:ind w:left="1440"/>
        <w:contextualSpacing/>
        <w:jc w:val="both"/>
        <w:rPr>
          <w:rFonts w:ascii="Times New Roman" w:hAnsi="Times New Roman" w:cs="Times New Roman"/>
          <w:sz w:val="24"/>
          <w:szCs w:val="24"/>
        </w:rPr>
      </w:pPr>
      <w:r w:rsidRPr="00E35977">
        <w:rPr>
          <w:rFonts w:ascii="Times New Roman" w:hAnsi="Times New Roman" w:cs="Times New Roman"/>
          <w:sz w:val="24"/>
          <w:szCs w:val="24"/>
        </w:rPr>
        <w:t xml:space="preserve">Wilson Energy Economics provides consulting services to </w:t>
      </w:r>
      <w:r w:rsidR="00DF4629">
        <w:rPr>
          <w:rFonts w:ascii="Times New Roman" w:hAnsi="Times New Roman" w:cs="Times New Roman"/>
          <w:sz w:val="24"/>
          <w:szCs w:val="24"/>
        </w:rPr>
        <w:t xml:space="preserve">OPC and other Consumer Advocates Offices on issues related to the </w:t>
      </w:r>
      <w:r w:rsidRPr="00E35977">
        <w:rPr>
          <w:rFonts w:ascii="Times New Roman" w:hAnsi="Times New Roman" w:cs="Times New Roman"/>
          <w:sz w:val="24"/>
          <w:szCs w:val="24"/>
        </w:rPr>
        <w:t xml:space="preserve">PJM Interconnection, LLC –by participating in stakeholder meetings on their behalf and advising consumer advocates on policy positions </w:t>
      </w:r>
      <w:r w:rsidR="00DF4629">
        <w:rPr>
          <w:rFonts w:ascii="Times New Roman" w:hAnsi="Times New Roman" w:cs="Times New Roman"/>
          <w:sz w:val="24"/>
          <w:szCs w:val="24"/>
        </w:rPr>
        <w:t xml:space="preserve">beneficial to </w:t>
      </w:r>
      <w:r w:rsidR="002A3FE4" w:rsidRPr="00E35977">
        <w:rPr>
          <w:rFonts w:ascii="Times New Roman" w:hAnsi="Times New Roman" w:cs="Times New Roman"/>
          <w:sz w:val="24"/>
          <w:szCs w:val="24"/>
        </w:rPr>
        <w:t xml:space="preserve">retail electric ratepayers at PJM and the FERC.  </w:t>
      </w:r>
    </w:p>
    <w:p w14:paraId="23984598" w14:textId="77777777" w:rsidR="00B457C3" w:rsidRDefault="00B457C3" w:rsidP="00DF4629">
      <w:pPr>
        <w:spacing w:line="240" w:lineRule="auto"/>
        <w:ind w:left="1440"/>
        <w:contextualSpacing/>
        <w:jc w:val="both"/>
        <w:rPr>
          <w:rFonts w:ascii="Times New Roman" w:hAnsi="Times New Roman" w:cs="Times New Roman"/>
          <w:sz w:val="24"/>
          <w:szCs w:val="24"/>
        </w:rPr>
      </w:pPr>
    </w:p>
    <w:p w14:paraId="7E0C8921" w14:textId="77777777" w:rsidR="00B457C3" w:rsidRDefault="00B457C3">
      <w:pPr>
        <w:rPr>
          <w:rFonts w:ascii="Times New Roman" w:hAnsi="Times New Roman" w:cs="Times New Roman"/>
          <w:sz w:val="24"/>
          <w:szCs w:val="24"/>
        </w:rPr>
      </w:pPr>
      <w:r>
        <w:rPr>
          <w:rFonts w:ascii="Times New Roman" w:hAnsi="Times New Roman" w:cs="Times New Roman"/>
          <w:sz w:val="24"/>
          <w:szCs w:val="24"/>
        </w:rPr>
        <w:br w:type="page"/>
      </w:r>
    </w:p>
    <w:p w14:paraId="681E2ADF" w14:textId="74934A5C" w:rsidR="006662DB" w:rsidRPr="00584543" w:rsidRDefault="00B457C3" w:rsidP="009C25C5">
      <w:pPr>
        <w:spacing w:line="240" w:lineRule="auto"/>
        <w:ind w:left="1440"/>
        <w:contextualSpacing/>
        <w:jc w:val="both"/>
        <w:rPr>
          <w:rFonts w:ascii="Times New Roman" w:hAnsi="Times New Roman" w:cs="Times New Roman"/>
          <w:color w:val="000000"/>
          <w:sz w:val="24"/>
          <w:szCs w:val="24"/>
        </w:rPr>
      </w:pPr>
      <w:r w:rsidRPr="00B457C3">
        <w:rPr>
          <w:rFonts w:ascii="Times New Roman" w:hAnsi="Times New Roman" w:cs="Times New Roman"/>
          <w:sz w:val="24"/>
          <w:szCs w:val="24"/>
        </w:rPr>
        <w:lastRenderedPageBreak/>
        <w:t xml:space="preserve">In </w:t>
      </w:r>
      <w:r w:rsidR="00535ED7">
        <w:rPr>
          <w:rFonts w:ascii="Times New Roman" w:hAnsi="Times New Roman" w:cs="Times New Roman"/>
          <w:sz w:val="24"/>
          <w:szCs w:val="24"/>
        </w:rPr>
        <w:t>FY2</w:t>
      </w:r>
      <w:r w:rsidR="00584543">
        <w:rPr>
          <w:rFonts w:ascii="Times New Roman" w:hAnsi="Times New Roman" w:cs="Times New Roman"/>
          <w:sz w:val="24"/>
          <w:szCs w:val="24"/>
        </w:rPr>
        <w:t>4</w:t>
      </w:r>
      <w:r w:rsidRPr="00B457C3">
        <w:rPr>
          <w:rFonts w:ascii="Times New Roman" w:hAnsi="Times New Roman" w:cs="Times New Roman"/>
          <w:sz w:val="24"/>
          <w:szCs w:val="24"/>
        </w:rPr>
        <w:t xml:space="preserve">, the </w:t>
      </w:r>
      <w:r w:rsidR="006662DB">
        <w:rPr>
          <w:rFonts w:ascii="Times New Roman" w:hAnsi="Times New Roman" w:cs="Times New Roman"/>
          <w:sz w:val="24"/>
          <w:szCs w:val="24"/>
        </w:rPr>
        <w:t xml:space="preserve">following </w:t>
      </w:r>
      <w:r w:rsidRPr="00B457C3">
        <w:rPr>
          <w:rFonts w:ascii="Times New Roman" w:hAnsi="Times New Roman" w:cs="Times New Roman"/>
          <w:sz w:val="24"/>
          <w:szCs w:val="24"/>
        </w:rPr>
        <w:t>issues</w:t>
      </w:r>
      <w:r w:rsidR="006662DB">
        <w:rPr>
          <w:rFonts w:ascii="Times New Roman" w:hAnsi="Times New Roman" w:cs="Times New Roman"/>
          <w:sz w:val="24"/>
          <w:szCs w:val="24"/>
        </w:rPr>
        <w:t xml:space="preserve"> are likely to be important: work on the broad range of issues under the Critical Issues Fast Path – Resource Adequacy Senior Task Force, including capacity value of all resources and a seasonal capacity market; work on energy market reforms and a Circuit Breaker mechanism; changes to PJM’s load forecasting methodology</w:t>
      </w:r>
      <w:r w:rsidRPr="00B457C3">
        <w:rPr>
          <w:rFonts w:ascii="Times New Roman" w:hAnsi="Times New Roman" w:cs="Times New Roman"/>
          <w:sz w:val="24"/>
          <w:szCs w:val="24"/>
        </w:rPr>
        <w:t>,</w:t>
      </w:r>
      <w:r w:rsidR="006662DB">
        <w:rPr>
          <w:rFonts w:ascii="Times New Roman" w:hAnsi="Times New Roman" w:cs="Times New Roman"/>
          <w:sz w:val="24"/>
          <w:szCs w:val="24"/>
        </w:rPr>
        <w:t xml:space="preserve"> work on PJM’s resource adequacy modeling; further work on RPM and related issues; among</w:t>
      </w:r>
      <w:r w:rsidRPr="00B457C3">
        <w:rPr>
          <w:rFonts w:ascii="Times New Roman" w:hAnsi="Times New Roman" w:cs="Times New Roman"/>
          <w:sz w:val="24"/>
          <w:szCs w:val="24"/>
        </w:rPr>
        <w:t xml:space="preserve"> others that</w:t>
      </w:r>
      <w:r w:rsidR="006662DB">
        <w:rPr>
          <w:rFonts w:ascii="Times New Roman" w:hAnsi="Times New Roman" w:cs="Times New Roman"/>
          <w:sz w:val="24"/>
          <w:szCs w:val="24"/>
        </w:rPr>
        <w:t xml:space="preserve"> are likely to arise during the year. The specific technical tasks covered in this procurement will include:</w:t>
      </w:r>
      <w:r w:rsidR="00584543">
        <w:rPr>
          <w:rFonts w:ascii="Times New Roman" w:hAnsi="Times New Roman" w:cs="Times New Roman"/>
          <w:sz w:val="24"/>
          <w:szCs w:val="24"/>
        </w:rPr>
        <w:t xml:space="preserve"> </w:t>
      </w:r>
    </w:p>
    <w:p w14:paraId="36320EEF" w14:textId="363B7B36" w:rsidR="006662DB" w:rsidRDefault="006662DB" w:rsidP="0073747E">
      <w:pPr>
        <w:pStyle w:val="NoSpacing"/>
        <w:numPr>
          <w:ilvl w:val="1"/>
          <w:numId w:val="10"/>
        </w:numPr>
      </w:pPr>
      <w:r w:rsidRPr="0073747E">
        <w:rPr>
          <w:rFonts w:ascii="Times New Roman" w:hAnsi="Times New Roman" w:cs="Times New Roman"/>
          <w:sz w:val="24"/>
          <w:szCs w:val="24"/>
        </w:rPr>
        <w:t>Participate in certain PJM stakeholder processes (may include, but not limited to, the Resource Adequacy</w:t>
      </w:r>
      <w:r w:rsidR="009C25C5">
        <w:rPr>
          <w:rFonts w:ascii="Times New Roman" w:hAnsi="Times New Roman" w:cs="Times New Roman"/>
          <w:sz w:val="24"/>
          <w:szCs w:val="24"/>
        </w:rPr>
        <w:t xml:space="preserve"> Senior Task Force, Clean Attribute Procurement Senior Task Force, Resource Adequacy</w:t>
      </w:r>
      <w:r w:rsidRPr="0073747E">
        <w:rPr>
          <w:rFonts w:ascii="Times New Roman" w:hAnsi="Times New Roman" w:cs="Times New Roman"/>
          <w:sz w:val="24"/>
          <w:szCs w:val="24"/>
        </w:rPr>
        <w:t xml:space="preserve"> Analysis Subcommittee, Load Analysis Subcommittee, Planning Committee, Market Implementation Committee, Markets and Reliability Committee</w:t>
      </w:r>
      <w:r w:rsidR="009C25C5">
        <w:rPr>
          <w:rFonts w:ascii="Times New Roman" w:hAnsi="Times New Roman" w:cs="Times New Roman"/>
          <w:sz w:val="24"/>
          <w:szCs w:val="24"/>
        </w:rPr>
        <w:t xml:space="preserve"> and other groups formed for specific issues</w:t>
      </w:r>
      <w:r w:rsidRPr="0073747E">
        <w:rPr>
          <w:rFonts w:ascii="Times New Roman" w:hAnsi="Times New Roman" w:cs="Times New Roman"/>
          <w:sz w:val="24"/>
          <w:szCs w:val="24"/>
        </w:rPr>
        <w:t xml:space="preserve">); develop, present analysis, </w:t>
      </w:r>
      <w:proofErr w:type="gramStart"/>
      <w:r w:rsidRPr="0073747E">
        <w:rPr>
          <w:rFonts w:ascii="Times New Roman" w:hAnsi="Times New Roman" w:cs="Times New Roman"/>
          <w:sz w:val="24"/>
          <w:szCs w:val="24"/>
        </w:rPr>
        <w:t>positions</w:t>
      </w:r>
      <w:proofErr w:type="gramEnd"/>
      <w:r w:rsidRPr="0073747E">
        <w:rPr>
          <w:rFonts w:ascii="Times New Roman" w:hAnsi="Times New Roman" w:cs="Times New Roman"/>
          <w:sz w:val="24"/>
          <w:szCs w:val="24"/>
        </w:rPr>
        <w:t xml:space="preserve"> and proposals</w:t>
      </w:r>
      <w:r>
        <w:t>;</w:t>
      </w:r>
    </w:p>
    <w:p w14:paraId="094547F2" w14:textId="77777777" w:rsidR="009C25C5" w:rsidRDefault="009C25C5" w:rsidP="009C25C5">
      <w:pPr>
        <w:pStyle w:val="Default"/>
        <w:numPr>
          <w:ilvl w:val="1"/>
          <w:numId w:val="10"/>
        </w:numPr>
        <w:jc w:val="both"/>
      </w:pPr>
      <w:r w:rsidRPr="00E35977">
        <w:t>Prepare white papers on emerging issues</w:t>
      </w:r>
      <w:r>
        <w:t>;</w:t>
      </w:r>
      <w:r w:rsidRPr="00E35977">
        <w:t xml:space="preserve"> </w:t>
      </w:r>
    </w:p>
    <w:p w14:paraId="05C2E045" w14:textId="764A22F9" w:rsidR="0073747E" w:rsidRPr="00E35977" w:rsidRDefault="005D0298" w:rsidP="0073747E">
      <w:pPr>
        <w:pStyle w:val="Default"/>
        <w:numPr>
          <w:ilvl w:val="0"/>
          <w:numId w:val="1"/>
        </w:numPr>
        <w:ind w:left="1800"/>
        <w:jc w:val="both"/>
      </w:pPr>
      <w:r w:rsidRPr="00E35977">
        <w:t>Submit affidavits in FERC proceedings</w:t>
      </w:r>
      <w:r w:rsidR="00DF4629">
        <w:t>;</w:t>
      </w:r>
      <w:r w:rsidRPr="00E35977">
        <w:t xml:space="preserve"> </w:t>
      </w:r>
    </w:p>
    <w:p w14:paraId="28881662" w14:textId="77777777" w:rsidR="005D0298" w:rsidRPr="00E35977" w:rsidRDefault="005D0298" w:rsidP="005D0298">
      <w:pPr>
        <w:pStyle w:val="Default"/>
        <w:numPr>
          <w:ilvl w:val="0"/>
          <w:numId w:val="1"/>
        </w:numPr>
        <w:ind w:left="1800"/>
        <w:jc w:val="both"/>
      </w:pPr>
      <w:r w:rsidRPr="00E35977">
        <w:t>Provide quick turnaround consulting on issues that arise</w:t>
      </w:r>
      <w:r w:rsidR="00DF4629">
        <w:t>;</w:t>
      </w:r>
      <w:r w:rsidRPr="00E35977">
        <w:t xml:space="preserve"> </w:t>
      </w:r>
    </w:p>
    <w:p w14:paraId="07CF6E91" w14:textId="77777777" w:rsidR="005D0298" w:rsidRPr="00E35977" w:rsidRDefault="005D0298" w:rsidP="005D0298">
      <w:pPr>
        <w:pStyle w:val="Default"/>
        <w:numPr>
          <w:ilvl w:val="0"/>
          <w:numId w:val="1"/>
        </w:numPr>
        <w:ind w:left="1800"/>
        <w:jc w:val="both"/>
      </w:pPr>
      <w:r w:rsidRPr="00E35977">
        <w:t>Estimate impacts of proposed changes in PJM rules or procedures</w:t>
      </w:r>
      <w:r w:rsidR="00DF4629">
        <w:t>;</w:t>
      </w:r>
      <w:r w:rsidRPr="00E35977">
        <w:t xml:space="preserve"> </w:t>
      </w:r>
    </w:p>
    <w:p w14:paraId="3BD176A9" w14:textId="77777777" w:rsidR="005D0298" w:rsidRPr="00E35977" w:rsidRDefault="005D0298" w:rsidP="005D0298">
      <w:pPr>
        <w:pStyle w:val="Default"/>
        <w:numPr>
          <w:ilvl w:val="0"/>
          <w:numId w:val="1"/>
        </w:numPr>
        <w:ind w:left="1800"/>
        <w:jc w:val="both"/>
      </w:pPr>
      <w:r w:rsidRPr="00E35977">
        <w:t>Evaluate and report on results of major PJM events such as RPM auctions</w:t>
      </w:r>
      <w:r w:rsidR="00DF4629">
        <w:t>;</w:t>
      </w:r>
      <w:r w:rsidRPr="00E35977">
        <w:t xml:space="preserve"> </w:t>
      </w:r>
    </w:p>
    <w:p w14:paraId="6DC1FDE5" w14:textId="77777777" w:rsidR="005D0298" w:rsidRPr="00E35977" w:rsidRDefault="005D0298" w:rsidP="005D0298">
      <w:pPr>
        <w:pStyle w:val="Default"/>
        <w:numPr>
          <w:ilvl w:val="0"/>
          <w:numId w:val="1"/>
        </w:numPr>
        <w:ind w:left="1800"/>
        <w:jc w:val="both"/>
      </w:pPr>
      <w:r w:rsidRPr="00E35977">
        <w:t>Review and comment on key reports of PJM or its independent market monitor</w:t>
      </w:r>
      <w:r w:rsidR="00DF4629">
        <w:t>;</w:t>
      </w:r>
      <w:r w:rsidRPr="00E35977">
        <w:t xml:space="preserve"> </w:t>
      </w:r>
    </w:p>
    <w:p w14:paraId="4636257D" w14:textId="77777777" w:rsidR="005D0298" w:rsidRPr="00E35977" w:rsidRDefault="005D0298" w:rsidP="005D0298">
      <w:pPr>
        <w:pStyle w:val="Default"/>
        <w:numPr>
          <w:ilvl w:val="0"/>
          <w:numId w:val="1"/>
        </w:numPr>
        <w:ind w:left="1800"/>
        <w:jc w:val="both"/>
      </w:pPr>
      <w:r w:rsidRPr="00E35977">
        <w:t>Review and comment on draft regulatory filings</w:t>
      </w:r>
      <w:r w:rsidR="00DF4629">
        <w:t>;</w:t>
      </w:r>
      <w:r w:rsidRPr="00E35977">
        <w:t xml:space="preserve"> </w:t>
      </w:r>
    </w:p>
    <w:p w14:paraId="26490A72" w14:textId="77777777" w:rsidR="005D0298" w:rsidRPr="00E35977" w:rsidRDefault="005D0298" w:rsidP="005D0298">
      <w:pPr>
        <w:pStyle w:val="Default"/>
        <w:numPr>
          <w:ilvl w:val="0"/>
          <w:numId w:val="1"/>
        </w:numPr>
        <w:ind w:left="1800"/>
        <w:jc w:val="both"/>
      </w:pPr>
      <w:r w:rsidRPr="00E35977">
        <w:t>Evaluate issues and recommend positions for upcoming PJM votes</w:t>
      </w:r>
      <w:r w:rsidR="00DF4629">
        <w:t>;</w:t>
      </w:r>
      <w:r w:rsidRPr="00E35977">
        <w:t xml:space="preserve"> </w:t>
      </w:r>
    </w:p>
    <w:p w14:paraId="5B228FAE" w14:textId="397865B3" w:rsidR="005D0298" w:rsidRPr="00E35977" w:rsidRDefault="005D0298" w:rsidP="005D0298">
      <w:pPr>
        <w:pStyle w:val="Default"/>
        <w:numPr>
          <w:ilvl w:val="0"/>
          <w:numId w:val="1"/>
        </w:numPr>
        <w:ind w:left="1800"/>
        <w:jc w:val="both"/>
      </w:pPr>
      <w:r w:rsidRPr="00E35977">
        <w:t>Provide updates on key issues of concern</w:t>
      </w:r>
      <w:r w:rsidR="00DF4629">
        <w:t>;</w:t>
      </w:r>
      <w:r w:rsidRPr="00E35977">
        <w:t xml:space="preserve"> </w:t>
      </w:r>
    </w:p>
    <w:p w14:paraId="546C9C07" w14:textId="128CABF4" w:rsidR="00191052" w:rsidRPr="009C25C5" w:rsidRDefault="005D0298" w:rsidP="009C25C5">
      <w:pPr>
        <w:pStyle w:val="NoSpacing"/>
        <w:numPr>
          <w:ilvl w:val="1"/>
          <w:numId w:val="1"/>
        </w:numPr>
        <w:rPr>
          <w:rFonts w:ascii="Times New Roman" w:hAnsi="Times New Roman" w:cs="Times New Roman"/>
          <w:sz w:val="24"/>
          <w:szCs w:val="24"/>
        </w:rPr>
      </w:pPr>
      <w:r w:rsidRPr="009C25C5">
        <w:rPr>
          <w:rFonts w:ascii="Times New Roman" w:hAnsi="Times New Roman" w:cs="Times New Roman"/>
          <w:sz w:val="24"/>
          <w:szCs w:val="24"/>
        </w:rPr>
        <w:t xml:space="preserve">Work with other stakeholders and experts to coordinate </w:t>
      </w:r>
      <w:r w:rsidR="00A07D36">
        <w:rPr>
          <w:rFonts w:ascii="Times New Roman" w:hAnsi="Times New Roman" w:cs="Times New Roman"/>
          <w:sz w:val="24"/>
          <w:szCs w:val="24"/>
        </w:rPr>
        <w:t xml:space="preserve">the </w:t>
      </w:r>
      <w:r w:rsidRPr="009C25C5">
        <w:rPr>
          <w:rFonts w:ascii="Times New Roman" w:hAnsi="Times New Roman" w:cs="Times New Roman"/>
          <w:sz w:val="24"/>
          <w:szCs w:val="24"/>
        </w:rPr>
        <w:t>development of positions and strategies</w:t>
      </w:r>
      <w:r w:rsidR="00DF4629" w:rsidRPr="009C25C5">
        <w:rPr>
          <w:rFonts w:ascii="Times New Roman" w:hAnsi="Times New Roman" w:cs="Times New Roman"/>
          <w:sz w:val="24"/>
          <w:szCs w:val="24"/>
        </w:rPr>
        <w:t xml:space="preserve">; </w:t>
      </w:r>
      <w:r w:rsidR="009C3F5A" w:rsidRPr="009C25C5">
        <w:rPr>
          <w:rFonts w:ascii="Times New Roman" w:hAnsi="Times New Roman" w:cs="Times New Roman"/>
          <w:sz w:val="24"/>
          <w:szCs w:val="24"/>
        </w:rPr>
        <w:t xml:space="preserve">and </w:t>
      </w:r>
    </w:p>
    <w:p w14:paraId="01EDE636" w14:textId="32EE3A5F" w:rsidR="00C3389C" w:rsidRPr="009C25C5" w:rsidRDefault="009C25C5" w:rsidP="009C25C5">
      <w:pPr>
        <w:pStyle w:val="NoSpacing"/>
        <w:numPr>
          <w:ilvl w:val="1"/>
          <w:numId w:val="1"/>
        </w:numPr>
        <w:rPr>
          <w:rFonts w:ascii="Times New Roman" w:hAnsi="Times New Roman" w:cs="Times New Roman"/>
          <w:sz w:val="24"/>
          <w:szCs w:val="24"/>
        </w:rPr>
      </w:pPr>
      <w:r>
        <w:rPr>
          <w:rFonts w:ascii="Times New Roman" w:eastAsia="Calibri" w:hAnsi="Times New Roman" w:cs="Times New Roman"/>
          <w:sz w:val="24"/>
          <w:szCs w:val="24"/>
        </w:rPr>
        <w:t>Efforts are c</w:t>
      </w:r>
      <w:r w:rsidR="009C3F5A" w:rsidRPr="009C25C5">
        <w:rPr>
          <w:rFonts w:ascii="Times New Roman" w:eastAsia="Calibri" w:hAnsi="Times New Roman" w:cs="Times New Roman"/>
          <w:sz w:val="24"/>
          <w:szCs w:val="24"/>
        </w:rPr>
        <w:t xml:space="preserve">oordinated </w:t>
      </w:r>
      <w:r w:rsidR="00191052" w:rsidRPr="009C25C5">
        <w:rPr>
          <w:rFonts w:ascii="Times New Roman" w:eastAsia="Calibri" w:hAnsi="Times New Roman" w:cs="Times New Roman"/>
          <w:sz w:val="24"/>
          <w:szCs w:val="24"/>
        </w:rPr>
        <w:t>with Consumer Advocates of the PJM States (“CAPS”) as appropriate</w:t>
      </w:r>
      <w:r w:rsidR="00DF4629" w:rsidRPr="009C25C5">
        <w:rPr>
          <w:rFonts w:ascii="Times New Roman" w:hAnsi="Times New Roman" w:cs="Times New Roman"/>
          <w:sz w:val="24"/>
          <w:szCs w:val="24"/>
        </w:rPr>
        <w:t>.</w:t>
      </w:r>
    </w:p>
    <w:p w14:paraId="1EA5459D" w14:textId="77777777" w:rsidR="005D0298" w:rsidRPr="00E35977" w:rsidRDefault="005D0298" w:rsidP="005D0298">
      <w:pPr>
        <w:pStyle w:val="Default"/>
        <w:ind w:left="1800"/>
        <w:jc w:val="both"/>
        <w:rPr>
          <w:color w:val="auto"/>
        </w:rPr>
      </w:pPr>
    </w:p>
    <w:p w14:paraId="456C6105" w14:textId="77777777" w:rsidR="002A3FE4" w:rsidRPr="00E35977" w:rsidRDefault="002A3FE4" w:rsidP="002A3FE4">
      <w:pPr>
        <w:spacing w:line="240" w:lineRule="auto"/>
        <w:contextualSpacing/>
        <w:jc w:val="both"/>
        <w:rPr>
          <w:rFonts w:ascii="Times New Roman" w:hAnsi="Times New Roman" w:cs="Times New Roman"/>
          <w:sz w:val="24"/>
          <w:szCs w:val="24"/>
        </w:rPr>
      </w:pPr>
      <w:r w:rsidRPr="00E35977">
        <w:rPr>
          <w:rFonts w:ascii="Times New Roman" w:hAnsi="Times New Roman" w:cs="Times New Roman"/>
          <w:sz w:val="24"/>
          <w:szCs w:val="24"/>
        </w:rPr>
        <w:tab/>
      </w:r>
      <w:r w:rsidRPr="00E35977">
        <w:rPr>
          <w:rFonts w:ascii="Times New Roman" w:hAnsi="Times New Roman" w:cs="Times New Roman"/>
          <w:sz w:val="24"/>
          <w:szCs w:val="24"/>
        </w:rPr>
        <w:tab/>
        <w:t xml:space="preserve">Specific topic areas that Wilson Energy Economics will cover on behalf of OPC </w:t>
      </w:r>
      <w:r w:rsidRPr="00E35977">
        <w:rPr>
          <w:rFonts w:ascii="Times New Roman" w:hAnsi="Times New Roman" w:cs="Times New Roman"/>
          <w:sz w:val="24"/>
          <w:szCs w:val="24"/>
        </w:rPr>
        <w:tab/>
      </w:r>
      <w:r w:rsidRPr="00E35977">
        <w:rPr>
          <w:rFonts w:ascii="Times New Roman" w:hAnsi="Times New Roman" w:cs="Times New Roman"/>
          <w:sz w:val="24"/>
          <w:szCs w:val="24"/>
        </w:rPr>
        <w:tab/>
      </w:r>
      <w:r w:rsidRPr="00E35977">
        <w:rPr>
          <w:rFonts w:ascii="Times New Roman" w:hAnsi="Times New Roman" w:cs="Times New Roman"/>
          <w:sz w:val="24"/>
          <w:szCs w:val="24"/>
        </w:rPr>
        <w:tab/>
      </w:r>
      <w:r w:rsidR="00DF4629">
        <w:rPr>
          <w:rFonts w:ascii="Times New Roman" w:hAnsi="Times New Roman" w:cs="Times New Roman"/>
          <w:sz w:val="24"/>
          <w:szCs w:val="24"/>
        </w:rPr>
        <w:t xml:space="preserve">and other </w:t>
      </w:r>
      <w:r w:rsidR="00DF4629" w:rsidRPr="00DF4629">
        <w:rPr>
          <w:rFonts w:ascii="Times New Roman" w:hAnsi="Times New Roman" w:cs="Times New Roman"/>
          <w:sz w:val="24"/>
          <w:szCs w:val="24"/>
        </w:rPr>
        <w:t xml:space="preserve">Consumer Advocates Offices </w:t>
      </w:r>
      <w:r w:rsidRPr="00E35977">
        <w:rPr>
          <w:rFonts w:ascii="Times New Roman" w:hAnsi="Times New Roman" w:cs="Times New Roman"/>
          <w:sz w:val="24"/>
          <w:szCs w:val="24"/>
        </w:rPr>
        <w:t>will include:</w:t>
      </w:r>
    </w:p>
    <w:p w14:paraId="16D87F6E" w14:textId="6F63EDD2" w:rsidR="0073747E" w:rsidRPr="00E35977" w:rsidRDefault="002A3FE4" w:rsidP="009C25C5">
      <w:pPr>
        <w:pStyle w:val="Default"/>
        <w:ind w:left="1440"/>
        <w:jc w:val="both"/>
      </w:pPr>
      <w:r w:rsidRPr="00E35977">
        <w:rPr>
          <w:i/>
          <w:iCs/>
        </w:rPr>
        <w:t xml:space="preserve">RPM capacity market, resource adequacy: </w:t>
      </w:r>
    </w:p>
    <w:p w14:paraId="12B972F0" w14:textId="1E1E4FFD" w:rsidR="009C3F5A" w:rsidRDefault="009C25C5" w:rsidP="00A46EA6">
      <w:pPr>
        <w:pStyle w:val="Default"/>
        <w:numPr>
          <w:ilvl w:val="0"/>
          <w:numId w:val="1"/>
        </w:numPr>
        <w:ind w:left="1800"/>
        <w:jc w:val="both"/>
      </w:pPr>
      <w:r>
        <w:t>Resource adequacy modeling: use of weather data, winter risk modeling, various assumptions.</w:t>
      </w:r>
    </w:p>
    <w:p w14:paraId="46C0FA3C" w14:textId="77777777" w:rsidR="009C25C5" w:rsidRDefault="009C25C5" w:rsidP="009C25C5">
      <w:pPr>
        <w:pStyle w:val="Default"/>
        <w:numPr>
          <w:ilvl w:val="0"/>
          <w:numId w:val="1"/>
        </w:numPr>
        <w:ind w:left="1800"/>
        <w:jc w:val="both"/>
      </w:pPr>
      <w:r>
        <w:t xml:space="preserve">Changes to PJM's RPM capacity construct: performance obligations, VRR curve, seasonal capacity, clean attribute procurement, multi-year commitments, capacity imports, market power mitigation, MOPR, APIR, CONE and E&amp;AS offset, incremental auctions, etc. </w:t>
      </w:r>
    </w:p>
    <w:p w14:paraId="6F7B291E" w14:textId="77777777" w:rsidR="009C3F5A" w:rsidRDefault="009C3F5A" w:rsidP="00A46EA6">
      <w:pPr>
        <w:pStyle w:val="Default"/>
        <w:numPr>
          <w:ilvl w:val="0"/>
          <w:numId w:val="1"/>
        </w:numPr>
        <w:ind w:left="1800"/>
        <w:jc w:val="both"/>
      </w:pPr>
      <w:r>
        <w:t>PJM's load forecast, installed reserve margin, zonal capacity requirements, CETL, reliability criteria ("1-in-10", "1-in-25")</w:t>
      </w:r>
    </w:p>
    <w:p w14:paraId="62E54C1F" w14:textId="77777777" w:rsidR="009C3F5A" w:rsidRDefault="009C3F5A" w:rsidP="00A46EA6">
      <w:pPr>
        <w:pStyle w:val="Default"/>
        <w:numPr>
          <w:ilvl w:val="0"/>
          <w:numId w:val="1"/>
        </w:numPr>
        <w:ind w:left="1800"/>
        <w:jc w:val="both"/>
      </w:pPr>
      <w:r>
        <w:t>Policies regarding state initiatives to bring forth new or retain existing capacity</w:t>
      </w:r>
    </w:p>
    <w:p w14:paraId="3CD54ACC" w14:textId="77777777" w:rsidR="002A3FE4" w:rsidRPr="00E35977" w:rsidRDefault="002A3FE4" w:rsidP="002A3FE4">
      <w:pPr>
        <w:pStyle w:val="Default"/>
        <w:ind w:left="1440"/>
        <w:jc w:val="both"/>
      </w:pPr>
    </w:p>
    <w:p w14:paraId="5DA359B6" w14:textId="77777777" w:rsidR="002A3FE4" w:rsidRPr="00E35977" w:rsidRDefault="002A3FE4" w:rsidP="0073747E">
      <w:pPr>
        <w:pStyle w:val="Default"/>
        <w:ind w:left="1440"/>
        <w:jc w:val="both"/>
      </w:pPr>
      <w:r w:rsidRPr="00E35977">
        <w:rPr>
          <w:i/>
          <w:iCs/>
        </w:rPr>
        <w:t xml:space="preserve">Demand response related issues: </w:t>
      </w:r>
    </w:p>
    <w:p w14:paraId="48620327" w14:textId="77777777" w:rsidR="00A46EA6" w:rsidRDefault="00A46EA6" w:rsidP="00A46EA6">
      <w:pPr>
        <w:pStyle w:val="Default"/>
        <w:numPr>
          <w:ilvl w:val="0"/>
          <w:numId w:val="1"/>
        </w:numPr>
        <w:ind w:left="1800"/>
        <w:jc w:val="both"/>
      </w:pPr>
      <w:r>
        <w:t xml:space="preserve">Treatment of demand response, energy efficiency and price-responsive demand </w:t>
      </w:r>
    </w:p>
    <w:p w14:paraId="731FD90A" w14:textId="77777777" w:rsidR="00A46EA6" w:rsidRDefault="00A46EA6" w:rsidP="00A46EA6">
      <w:pPr>
        <w:pStyle w:val="Default"/>
        <w:numPr>
          <w:ilvl w:val="0"/>
          <w:numId w:val="1"/>
        </w:numPr>
        <w:ind w:left="1800"/>
        <w:jc w:val="both"/>
      </w:pPr>
      <w:r>
        <w:t>Wholesale/retail coordination issues; markets, pricing, programs</w:t>
      </w:r>
    </w:p>
    <w:p w14:paraId="42C6B66A" w14:textId="77777777" w:rsidR="0073747E" w:rsidRDefault="0073747E" w:rsidP="0073747E">
      <w:pPr>
        <w:pStyle w:val="Default"/>
        <w:ind w:left="1440"/>
        <w:jc w:val="both"/>
      </w:pPr>
    </w:p>
    <w:p w14:paraId="6D286056" w14:textId="180FA5DC" w:rsidR="0073747E" w:rsidRPr="00E35977" w:rsidRDefault="0073747E" w:rsidP="0073747E">
      <w:pPr>
        <w:pStyle w:val="Default"/>
        <w:ind w:left="1440"/>
        <w:jc w:val="both"/>
      </w:pPr>
      <w:r>
        <w:rPr>
          <w:i/>
          <w:iCs/>
        </w:rPr>
        <w:lastRenderedPageBreak/>
        <w:t xml:space="preserve">Energy </w:t>
      </w:r>
      <w:r w:rsidRPr="00E35977">
        <w:rPr>
          <w:i/>
          <w:iCs/>
        </w:rPr>
        <w:t xml:space="preserve">markets issues: </w:t>
      </w:r>
    </w:p>
    <w:p w14:paraId="4104C4DE" w14:textId="64D94FA3" w:rsidR="0073747E" w:rsidRDefault="0073747E" w:rsidP="0073747E">
      <w:pPr>
        <w:pStyle w:val="Default"/>
        <w:numPr>
          <w:ilvl w:val="0"/>
          <w:numId w:val="1"/>
        </w:numPr>
        <w:ind w:left="1800"/>
        <w:jc w:val="both"/>
      </w:pPr>
      <w:r>
        <w:t>Energy market design; uplift rules</w:t>
      </w:r>
    </w:p>
    <w:p w14:paraId="6F015BC7" w14:textId="7EC89A38" w:rsidR="0073747E" w:rsidRPr="00E35977" w:rsidRDefault="0073747E" w:rsidP="0073747E">
      <w:pPr>
        <w:pStyle w:val="Default"/>
        <w:numPr>
          <w:ilvl w:val="0"/>
          <w:numId w:val="1"/>
        </w:numPr>
        <w:ind w:left="1800"/>
      </w:pPr>
      <w:r>
        <w:t>Shortage pricing rules; circuit breaker mechanism; possible carbon pricing rules</w:t>
      </w:r>
    </w:p>
    <w:p w14:paraId="0FAD7B28" w14:textId="77777777" w:rsidR="00F13BC2" w:rsidRPr="00E35977" w:rsidRDefault="00F13BC2" w:rsidP="00F13BC2">
      <w:pPr>
        <w:pStyle w:val="Default"/>
        <w:ind w:left="1800"/>
      </w:pPr>
    </w:p>
    <w:p w14:paraId="0D5A571F" w14:textId="77777777" w:rsidR="002A3FE4" w:rsidRPr="00E35977" w:rsidRDefault="002A3FE4" w:rsidP="0073747E">
      <w:pPr>
        <w:pStyle w:val="Default"/>
        <w:ind w:left="1440"/>
        <w:jc w:val="both"/>
      </w:pPr>
      <w:r w:rsidRPr="00E35977">
        <w:rPr>
          <w:i/>
          <w:iCs/>
        </w:rPr>
        <w:t xml:space="preserve">Transmission issues: </w:t>
      </w:r>
    </w:p>
    <w:p w14:paraId="5DCCEC78" w14:textId="77777777" w:rsidR="002A3FE4" w:rsidRDefault="002A3FE4" w:rsidP="00C3389C">
      <w:pPr>
        <w:pStyle w:val="Default"/>
        <w:numPr>
          <w:ilvl w:val="0"/>
          <w:numId w:val="1"/>
        </w:numPr>
        <w:ind w:left="1800"/>
        <w:jc w:val="both"/>
      </w:pPr>
      <w:r w:rsidRPr="00E35977">
        <w:t xml:space="preserve">Transmission planning, cost allocation </w:t>
      </w:r>
    </w:p>
    <w:p w14:paraId="1C74B3CD" w14:textId="419D6CE6" w:rsidR="0073747E" w:rsidRPr="00E35977" w:rsidRDefault="0073747E" w:rsidP="00C3389C">
      <w:pPr>
        <w:pStyle w:val="Default"/>
        <w:numPr>
          <w:ilvl w:val="0"/>
          <w:numId w:val="1"/>
        </w:numPr>
        <w:ind w:left="1800"/>
        <w:jc w:val="both"/>
      </w:pPr>
      <w:r>
        <w:t>Long-Term transmission planning</w:t>
      </w:r>
    </w:p>
    <w:p w14:paraId="6DB38995" w14:textId="5EA8DC9A" w:rsidR="002A3FE4" w:rsidRPr="00E35977" w:rsidRDefault="00C3389C" w:rsidP="00B457C3">
      <w:pPr>
        <w:pStyle w:val="Default"/>
        <w:numPr>
          <w:ilvl w:val="0"/>
          <w:numId w:val="1"/>
        </w:numPr>
        <w:ind w:left="1800"/>
        <w:jc w:val="both"/>
      </w:pPr>
      <w:r w:rsidRPr="00E35977">
        <w:t xml:space="preserve">Issues related to RTO realignments (into or out of PJM) or zone </w:t>
      </w:r>
      <w:r w:rsidR="00166B06" w:rsidRPr="00E35977">
        <w:t>definitions</w:t>
      </w:r>
    </w:p>
    <w:p w14:paraId="3E1973F9" w14:textId="77777777" w:rsidR="002A3FE4" w:rsidRPr="00E35977" w:rsidRDefault="002A3FE4" w:rsidP="00976263">
      <w:pPr>
        <w:spacing w:line="240" w:lineRule="auto"/>
        <w:rPr>
          <w:rFonts w:ascii="Times New Roman" w:hAnsi="Times New Roman" w:cs="Times New Roman"/>
          <w:sz w:val="24"/>
          <w:szCs w:val="24"/>
        </w:rPr>
      </w:pPr>
    </w:p>
    <w:p w14:paraId="7182F5CA" w14:textId="77777777" w:rsidR="00CC1CB9" w:rsidRPr="00E35977" w:rsidRDefault="00CC1CB9" w:rsidP="00E35977">
      <w:pPr>
        <w:spacing w:line="240" w:lineRule="auto"/>
        <w:ind w:left="1440" w:hanging="600"/>
        <w:jc w:val="both"/>
        <w:rPr>
          <w:rFonts w:ascii="Times New Roman" w:hAnsi="Times New Roman" w:cs="Times New Roman"/>
          <w:sz w:val="24"/>
          <w:szCs w:val="24"/>
        </w:rPr>
      </w:pPr>
      <w:r w:rsidRPr="00E35977">
        <w:rPr>
          <w:rFonts w:ascii="Times New Roman" w:hAnsi="Times New Roman" w:cs="Times New Roman"/>
          <w:sz w:val="24"/>
          <w:szCs w:val="24"/>
        </w:rPr>
        <w:t xml:space="preserve">B. </w:t>
      </w:r>
      <w:r w:rsidR="00E35977">
        <w:rPr>
          <w:rFonts w:ascii="Times New Roman" w:hAnsi="Times New Roman" w:cs="Times New Roman"/>
          <w:sz w:val="24"/>
          <w:szCs w:val="24"/>
        </w:rPr>
        <w:tab/>
        <w:t>Given Wilson Energy Economics’ expertise in</w:t>
      </w:r>
      <w:r w:rsidRPr="00E35977">
        <w:rPr>
          <w:rFonts w:ascii="Times New Roman" w:hAnsi="Times New Roman" w:cs="Times New Roman"/>
          <w:sz w:val="24"/>
          <w:szCs w:val="24"/>
        </w:rPr>
        <w:t xml:space="preserve"> PJM and FERC electric matters, th</w:t>
      </w:r>
      <w:r w:rsidR="00652232">
        <w:rPr>
          <w:rFonts w:ascii="Times New Roman" w:hAnsi="Times New Roman" w:cs="Times New Roman"/>
          <w:sz w:val="24"/>
          <w:szCs w:val="24"/>
        </w:rPr>
        <w:t>is</w:t>
      </w:r>
      <w:r w:rsidR="00DF4629">
        <w:rPr>
          <w:rFonts w:ascii="Times New Roman" w:hAnsi="Times New Roman" w:cs="Times New Roman"/>
          <w:sz w:val="24"/>
          <w:szCs w:val="24"/>
        </w:rPr>
        <w:t xml:space="preserve"> consultant is</w:t>
      </w:r>
      <w:r w:rsidRPr="00E35977">
        <w:rPr>
          <w:rFonts w:ascii="Times New Roman" w:hAnsi="Times New Roman" w:cs="Times New Roman"/>
          <w:sz w:val="24"/>
          <w:szCs w:val="24"/>
        </w:rPr>
        <w:t xml:space="preserve"> uniquely qualified to assist the Office of the People’s Counsel </w:t>
      </w:r>
      <w:r w:rsidR="00E35977">
        <w:rPr>
          <w:rFonts w:ascii="Times New Roman" w:hAnsi="Times New Roman" w:cs="Times New Roman"/>
          <w:sz w:val="24"/>
          <w:szCs w:val="24"/>
        </w:rPr>
        <w:t>with identifying and analyzing</w:t>
      </w:r>
      <w:r w:rsidRPr="00E35977">
        <w:rPr>
          <w:rFonts w:ascii="Times New Roman" w:hAnsi="Times New Roman" w:cs="Times New Roman"/>
          <w:sz w:val="24"/>
          <w:szCs w:val="24"/>
        </w:rPr>
        <w:t xml:space="preserve"> wholesale market and transmission planning issues and present strategies to help achieve just and reasonable electric rates for retail electric customers in the District of Columbia.  </w:t>
      </w:r>
    </w:p>
    <w:p w14:paraId="4EE65B07" w14:textId="629EF781" w:rsidR="00A46EA6" w:rsidRDefault="002A3FE4" w:rsidP="00CC1CB9">
      <w:pPr>
        <w:spacing w:line="240" w:lineRule="auto"/>
        <w:jc w:val="both"/>
        <w:rPr>
          <w:rFonts w:ascii="Times New Roman" w:hAnsi="Times New Roman" w:cs="Times New Roman"/>
          <w:sz w:val="24"/>
          <w:szCs w:val="24"/>
        </w:rPr>
      </w:pPr>
      <w:r w:rsidRPr="00E35977">
        <w:rPr>
          <w:rFonts w:ascii="Times New Roman" w:hAnsi="Times New Roman" w:cs="Times New Roman"/>
          <w:sz w:val="24"/>
          <w:szCs w:val="24"/>
        </w:rPr>
        <w:tab/>
        <w:t xml:space="preserve"> </w:t>
      </w:r>
      <w:r w:rsidR="00CC1CB9" w:rsidRPr="00E35977">
        <w:rPr>
          <w:rFonts w:ascii="Times New Roman" w:hAnsi="Times New Roman" w:cs="Times New Roman"/>
          <w:sz w:val="24"/>
          <w:szCs w:val="24"/>
        </w:rPr>
        <w:t xml:space="preserve">C. </w:t>
      </w:r>
      <w:r w:rsidR="00CC1CB9" w:rsidRPr="00E35977">
        <w:rPr>
          <w:rFonts w:ascii="Times New Roman" w:hAnsi="Times New Roman" w:cs="Times New Roman"/>
          <w:sz w:val="24"/>
          <w:szCs w:val="24"/>
        </w:rPr>
        <w:tab/>
        <w:t>It is for the reasons outlined herein that it is recommend</w:t>
      </w:r>
      <w:r w:rsidR="00E35977">
        <w:rPr>
          <w:rFonts w:ascii="Times New Roman" w:hAnsi="Times New Roman" w:cs="Times New Roman"/>
          <w:sz w:val="24"/>
          <w:szCs w:val="24"/>
        </w:rPr>
        <w:t>ed</w:t>
      </w:r>
      <w:r w:rsidR="00CC1CB9" w:rsidRPr="00E35977">
        <w:rPr>
          <w:rFonts w:ascii="Times New Roman" w:hAnsi="Times New Roman" w:cs="Times New Roman"/>
          <w:sz w:val="24"/>
          <w:szCs w:val="24"/>
        </w:rPr>
        <w:t xml:space="preserve"> that a sole source </w:t>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t xml:space="preserve">contract be awarded to Wilson Energy Economics.  </w:t>
      </w:r>
      <w:r w:rsidRPr="00E35977">
        <w:rPr>
          <w:rFonts w:ascii="Times New Roman" w:hAnsi="Times New Roman" w:cs="Times New Roman"/>
          <w:sz w:val="24"/>
          <w:szCs w:val="24"/>
        </w:rPr>
        <w:tab/>
      </w:r>
    </w:p>
    <w:p w14:paraId="7DFDEF22" w14:textId="6F0C88BB" w:rsidR="00CC1CB9" w:rsidRPr="00E35977" w:rsidRDefault="00CC1CB9" w:rsidP="00CC1CB9">
      <w:pPr>
        <w:spacing w:line="240" w:lineRule="auto"/>
        <w:jc w:val="both"/>
        <w:rPr>
          <w:rFonts w:ascii="Times New Roman" w:hAnsi="Times New Roman" w:cs="Times New Roman"/>
          <w:b/>
          <w:sz w:val="24"/>
          <w:szCs w:val="24"/>
          <w:u w:val="single"/>
        </w:rPr>
      </w:pPr>
      <w:r w:rsidRPr="00E35977">
        <w:rPr>
          <w:rFonts w:ascii="Times New Roman" w:hAnsi="Times New Roman" w:cs="Times New Roman"/>
          <w:sz w:val="24"/>
          <w:szCs w:val="24"/>
        </w:rPr>
        <w:t xml:space="preserve">5.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Certification by the Contracting Officer</w:t>
      </w:r>
    </w:p>
    <w:p w14:paraId="11CBDDFF" w14:textId="77777777" w:rsidR="00CC1CB9" w:rsidRDefault="00CC1CB9" w:rsidP="00CC1CB9">
      <w:pPr>
        <w:spacing w:line="240" w:lineRule="auto"/>
        <w:jc w:val="both"/>
        <w:rPr>
          <w:rFonts w:ascii="Times New Roman" w:hAnsi="Times New Roman" w:cs="Times New Roman"/>
          <w:sz w:val="24"/>
          <w:szCs w:val="24"/>
        </w:rPr>
      </w:pPr>
      <w:r w:rsidRPr="00E35977">
        <w:rPr>
          <w:rFonts w:ascii="Times New Roman" w:hAnsi="Times New Roman" w:cs="Times New Roman"/>
          <w:sz w:val="24"/>
          <w:szCs w:val="24"/>
        </w:rPr>
        <w:tab/>
        <w:t xml:space="preserve">I hereby certify that the above facts are accurate and complete.  </w:t>
      </w:r>
    </w:p>
    <w:p w14:paraId="05FC8774" w14:textId="5FDFED8F" w:rsidR="00656471" w:rsidRPr="00E35977" w:rsidRDefault="00656471" w:rsidP="00656471">
      <w:pPr>
        <w:spacing w:line="240" w:lineRule="auto"/>
        <w:contextualSpacing/>
        <w:rPr>
          <w:rFonts w:ascii="Times New Roman" w:hAnsi="Times New Roman" w:cs="Times New Roman"/>
          <w:sz w:val="24"/>
          <w:szCs w:val="24"/>
        </w:rPr>
      </w:pPr>
      <w:r w:rsidRPr="00E35977">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5977">
        <w:rPr>
          <w:rFonts w:ascii="Times New Roman" w:hAnsi="Times New Roman" w:cs="Times New Roman"/>
          <w:sz w:val="24"/>
          <w:szCs w:val="24"/>
        </w:rPr>
        <w:t>____________________</w:t>
      </w:r>
    </w:p>
    <w:p w14:paraId="690736E5" w14:textId="06030A25" w:rsidR="00CC1CB9" w:rsidRPr="00E35977" w:rsidRDefault="00FA17A4" w:rsidP="00CC1CB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Alicia Smith                          </w:t>
      </w:r>
      <w:r w:rsidR="00BF07FD">
        <w:rPr>
          <w:rFonts w:ascii="Times New Roman" w:hAnsi="Times New Roman" w:cs="Times New Roman"/>
          <w:sz w:val="24"/>
          <w:szCs w:val="24"/>
        </w:rPr>
        <w:tab/>
      </w:r>
      <w:r w:rsidR="00BF07FD">
        <w:rPr>
          <w:rFonts w:ascii="Times New Roman" w:hAnsi="Times New Roman" w:cs="Times New Roman"/>
          <w:sz w:val="24"/>
          <w:szCs w:val="24"/>
        </w:rPr>
        <w:tab/>
      </w:r>
      <w:r w:rsidR="00BF07FD">
        <w:rPr>
          <w:rFonts w:ascii="Times New Roman" w:hAnsi="Times New Roman" w:cs="Times New Roman"/>
          <w:sz w:val="24"/>
          <w:szCs w:val="24"/>
        </w:rPr>
        <w:tab/>
      </w:r>
      <w:r w:rsidR="00BF07FD">
        <w:rPr>
          <w:rFonts w:ascii="Times New Roman" w:hAnsi="Times New Roman" w:cs="Times New Roman"/>
          <w:sz w:val="24"/>
          <w:szCs w:val="24"/>
        </w:rPr>
        <w:tab/>
      </w:r>
      <w:r w:rsidR="003C7C0F">
        <w:rPr>
          <w:rFonts w:ascii="Times New Roman" w:hAnsi="Times New Roman" w:cs="Times New Roman"/>
          <w:sz w:val="24"/>
          <w:szCs w:val="24"/>
        </w:rPr>
        <w:t xml:space="preserve">            </w:t>
      </w:r>
      <w:r w:rsidR="00CC1CB9" w:rsidRPr="00E35977">
        <w:rPr>
          <w:rFonts w:ascii="Times New Roman" w:hAnsi="Times New Roman" w:cs="Times New Roman"/>
          <w:sz w:val="24"/>
          <w:szCs w:val="24"/>
        </w:rPr>
        <w:t>Date</w:t>
      </w:r>
    </w:p>
    <w:p w14:paraId="13361A3F" w14:textId="2EAE2041" w:rsidR="00CC1CB9" w:rsidRPr="00E35977" w:rsidRDefault="00CC1CB9" w:rsidP="00CC1CB9">
      <w:pPr>
        <w:spacing w:line="240" w:lineRule="auto"/>
        <w:contextualSpacing/>
        <w:jc w:val="both"/>
        <w:rPr>
          <w:rFonts w:ascii="Times New Roman" w:hAnsi="Times New Roman" w:cs="Times New Roman"/>
          <w:sz w:val="24"/>
          <w:szCs w:val="24"/>
        </w:rPr>
      </w:pPr>
      <w:r w:rsidRPr="00E35977">
        <w:rPr>
          <w:rFonts w:ascii="Times New Roman" w:hAnsi="Times New Roman" w:cs="Times New Roman"/>
          <w:sz w:val="24"/>
          <w:szCs w:val="24"/>
        </w:rPr>
        <w:t>Contracting Officer</w:t>
      </w:r>
    </w:p>
    <w:p w14:paraId="1D99B024" w14:textId="77777777" w:rsidR="00CC1CB9" w:rsidRPr="00E35977" w:rsidRDefault="00CC1CB9" w:rsidP="00CC1CB9">
      <w:pPr>
        <w:spacing w:line="240" w:lineRule="auto"/>
        <w:contextualSpacing/>
        <w:jc w:val="both"/>
        <w:rPr>
          <w:rFonts w:ascii="Times New Roman" w:hAnsi="Times New Roman" w:cs="Times New Roman"/>
          <w:sz w:val="24"/>
          <w:szCs w:val="24"/>
        </w:rPr>
      </w:pPr>
    </w:p>
    <w:p w14:paraId="2C0712F8" w14:textId="77777777" w:rsidR="00CC1CB9" w:rsidRPr="00E35977" w:rsidRDefault="00CC1CB9" w:rsidP="00CC1CB9">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DETERMINATION</w:t>
      </w:r>
    </w:p>
    <w:p w14:paraId="266F8F49" w14:textId="77777777" w:rsidR="00CC1CB9" w:rsidRPr="00E35977" w:rsidRDefault="00CC1CB9" w:rsidP="00CC1CB9">
      <w:pPr>
        <w:spacing w:line="240" w:lineRule="auto"/>
        <w:contextualSpacing/>
        <w:jc w:val="center"/>
        <w:rPr>
          <w:rFonts w:ascii="Times New Roman" w:hAnsi="Times New Roman" w:cs="Times New Roman"/>
          <w:b/>
          <w:sz w:val="24"/>
          <w:szCs w:val="24"/>
        </w:rPr>
      </w:pPr>
    </w:p>
    <w:p w14:paraId="20D8992C" w14:textId="77777777" w:rsidR="00CC1CB9" w:rsidRPr="00E35977" w:rsidRDefault="00CC1CB9" w:rsidP="00CC1CB9">
      <w:pPr>
        <w:spacing w:line="240" w:lineRule="auto"/>
        <w:contextualSpacing/>
        <w:rPr>
          <w:rFonts w:ascii="Times New Roman" w:hAnsi="Times New Roman" w:cs="Times New Roman"/>
          <w:i/>
          <w:sz w:val="24"/>
          <w:szCs w:val="24"/>
        </w:rPr>
      </w:pPr>
      <w:r w:rsidRPr="00E35977">
        <w:rPr>
          <w:rFonts w:ascii="Times New Roman" w:hAnsi="Times New Roman" w:cs="Times New Roman"/>
          <w:sz w:val="24"/>
          <w:szCs w:val="24"/>
        </w:rPr>
        <w:t xml:space="preserve">Based on the above findings and in accordance with the District of Columbia procurement regulations: </w:t>
      </w:r>
      <w:r w:rsidRPr="00E35977">
        <w:rPr>
          <w:rFonts w:ascii="Times New Roman" w:hAnsi="Times New Roman" w:cs="Times New Roman"/>
          <w:i/>
          <w:sz w:val="24"/>
          <w:szCs w:val="24"/>
        </w:rPr>
        <w:t xml:space="preserve">DC Law: 34-804; DC Law: 34-801; </w:t>
      </w:r>
      <w:r w:rsidRPr="00E35977">
        <w:rPr>
          <w:rFonts w:ascii="Times New Roman" w:hAnsi="Times New Roman" w:cs="Times New Roman"/>
          <w:sz w:val="24"/>
          <w:szCs w:val="24"/>
        </w:rPr>
        <w:t xml:space="preserve">and </w:t>
      </w:r>
      <w:r w:rsidRPr="00E35977">
        <w:rPr>
          <w:rFonts w:ascii="Times New Roman" w:hAnsi="Times New Roman" w:cs="Times New Roman"/>
          <w:i/>
          <w:sz w:val="24"/>
          <w:szCs w:val="24"/>
        </w:rPr>
        <w:t>15 DCMR §3700,</w:t>
      </w:r>
    </w:p>
    <w:p w14:paraId="3078E28F" w14:textId="77777777" w:rsidR="00CC1CB9" w:rsidRPr="00E35977" w:rsidRDefault="00CC1CB9" w:rsidP="00CC1CB9">
      <w:pPr>
        <w:spacing w:line="240" w:lineRule="auto"/>
        <w:contextualSpacing/>
        <w:rPr>
          <w:rFonts w:ascii="Times New Roman" w:hAnsi="Times New Roman" w:cs="Times New Roman"/>
          <w:sz w:val="24"/>
          <w:szCs w:val="24"/>
        </w:rPr>
      </w:pPr>
      <w:r w:rsidRPr="00E35977">
        <w:rPr>
          <w:rFonts w:ascii="Times New Roman" w:hAnsi="Times New Roman" w:cs="Times New Roman"/>
          <w:sz w:val="24"/>
          <w:szCs w:val="24"/>
        </w:rPr>
        <w:t xml:space="preserve">I hereby determine that the award of a sole source contract for the services described herein is in the best interest of the Office of the People’s Counsel. </w:t>
      </w:r>
    </w:p>
    <w:p w14:paraId="78317C75" w14:textId="77777777" w:rsidR="00CC1CB9" w:rsidRPr="00E35977" w:rsidRDefault="00CC1CB9" w:rsidP="00CC1CB9">
      <w:pPr>
        <w:spacing w:line="240" w:lineRule="auto"/>
        <w:contextualSpacing/>
        <w:rPr>
          <w:rFonts w:ascii="Times New Roman" w:hAnsi="Times New Roman" w:cs="Times New Roman"/>
          <w:sz w:val="24"/>
          <w:szCs w:val="24"/>
        </w:rPr>
      </w:pPr>
    </w:p>
    <w:p w14:paraId="1D809396" w14:textId="0FCFB5B8" w:rsidR="00CC1CB9" w:rsidRPr="00E35977" w:rsidRDefault="00CC1CB9" w:rsidP="00CC1CB9">
      <w:pPr>
        <w:spacing w:line="240" w:lineRule="auto"/>
        <w:contextualSpacing/>
        <w:rPr>
          <w:rFonts w:ascii="Times New Roman" w:hAnsi="Times New Roman" w:cs="Times New Roman"/>
          <w:sz w:val="24"/>
          <w:szCs w:val="24"/>
        </w:rPr>
      </w:pPr>
      <w:r w:rsidRPr="00E35977">
        <w:rPr>
          <w:rFonts w:ascii="Times New Roman" w:hAnsi="Times New Roman" w:cs="Times New Roman"/>
          <w:sz w:val="24"/>
          <w:szCs w:val="24"/>
        </w:rPr>
        <w:t>___________________________</w:t>
      </w:r>
      <w:r w:rsidRPr="00E35977">
        <w:rPr>
          <w:rFonts w:ascii="Times New Roman" w:hAnsi="Times New Roman" w:cs="Times New Roman"/>
          <w:sz w:val="24"/>
          <w:szCs w:val="24"/>
        </w:rPr>
        <w:tab/>
      </w:r>
      <w:r w:rsidRPr="00E35977">
        <w:rPr>
          <w:rFonts w:ascii="Times New Roman" w:hAnsi="Times New Roman" w:cs="Times New Roman"/>
          <w:sz w:val="24"/>
          <w:szCs w:val="24"/>
        </w:rPr>
        <w:tab/>
      </w:r>
      <w:r w:rsidRPr="00E35977">
        <w:rPr>
          <w:rFonts w:ascii="Times New Roman" w:hAnsi="Times New Roman" w:cs="Times New Roman"/>
          <w:sz w:val="24"/>
          <w:szCs w:val="24"/>
        </w:rPr>
        <w:tab/>
      </w:r>
      <w:r w:rsidRPr="00E35977">
        <w:rPr>
          <w:rFonts w:ascii="Times New Roman" w:hAnsi="Times New Roman" w:cs="Times New Roman"/>
          <w:sz w:val="24"/>
          <w:szCs w:val="24"/>
        </w:rPr>
        <w:tab/>
        <w:t>_____________________</w:t>
      </w:r>
    </w:p>
    <w:p w14:paraId="68AA975D" w14:textId="1578531A" w:rsidR="00CC1CB9" w:rsidRPr="00E35977" w:rsidRDefault="003C7C0F" w:rsidP="00CC1CB9">
      <w:pPr>
        <w:spacing w:line="240" w:lineRule="auto"/>
        <w:contextualSpacing/>
        <w:rPr>
          <w:rFonts w:ascii="Times New Roman" w:hAnsi="Times New Roman" w:cs="Times New Roman"/>
          <w:sz w:val="24"/>
          <w:szCs w:val="24"/>
        </w:rPr>
      </w:pPr>
      <w:r>
        <w:rPr>
          <w:rFonts w:ascii="Times New Roman" w:hAnsi="Times New Roman" w:cs="Times New Roman"/>
          <w:sz w:val="24"/>
          <w:szCs w:val="24"/>
        </w:rPr>
        <w:t>Michael Smalls</w:t>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656471">
        <w:rPr>
          <w:rFonts w:ascii="Times New Roman" w:hAnsi="Times New Roman" w:cs="Times New Roman"/>
          <w:sz w:val="24"/>
          <w:szCs w:val="24"/>
        </w:rPr>
        <w:tab/>
      </w:r>
      <w:r w:rsidR="00CC1CB9" w:rsidRPr="00E35977">
        <w:rPr>
          <w:rFonts w:ascii="Times New Roman" w:hAnsi="Times New Roman" w:cs="Times New Roman"/>
          <w:sz w:val="24"/>
          <w:szCs w:val="24"/>
        </w:rPr>
        <w:t>Date</w:t>
      </w:r>
    </w:p>
    <w:p w14:paraId="5628889E" w14:textId="6C0E03C4" w:rsidR="00656471" w:rsidRPr="00E35977" w:rsidRDefault="00656471" w:rsidP="00CC1CB9">
      <w:pPr>
        <w:spacing w:line="240" w:lineRule="auto"/>
        <w:rPr>
          <w:rFonts w:ascii="Times New Roman" w:hAnsi="Times New Roman" w:cs="Times New Roman"/>
          <w:sz w:val="24"/>
          <w:szCs w:val="24"/>
        </w:rPr>
      </w:pPr>
      <w:r>
        <w:rPr>
          <w:rFonts w:ascii="Times New Roman" w:hAnsi="Times New Roman" w:cs="Times New Roman"/>
          <w:sz w:val="24"/>
          <w:szCs w:val="24"/>
        </w:rPr>
        <w:t>Chief Operating Officer</w:t>
      </w:r>
    </w:p>
    <w:sectPr w:rsidR="00656471" w:rsidRPr="00E35977" w:rsidSect="00076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1203" w14:textId="77777777" w:rsidR="00163067" w:rsidRDefault="00163067" w:rsidP="00A56BA9">
      <w:pPr>
        <w:spacing w:after="0" w:line="240" w:lineRule="auto"/>
      </w:pPr>
      <w:r>
        <w:separator/>
      </w:r>
    </w:p>
  </w:endnote>
  <w:endnote w:type="continuationSeparator" w:id="0">
    <w:p w14:paraId="18D1A5D9" w14:textId="77777777" w:rsidR="00163067" w:rsidRDefault="00163067" w:rsidP="00A56BA9">
      <w:pPr>
        <w:spacing w:after="0" w:line="240" w:lineRule="auto"/>
      </w:pPr>
      <w:r>
        <w:continuationSeparator/>
      </w:r>
    </w:p>
  </w:endnote>
  <w:endnote w:id="1">
    <w:p w14:paraId="62628F5A" w14:textId="77777777" w:rsidR="00A56BA9" w:rsidRDefault="00A56BA9">
      <w:pPr>
        <w:pStyle w:val="EndnoteText"/>
      </w:pPr>
      <w:r>
        <w:rPr>
          <w:rStyle w:val="EndnoteReference"/>
        </w:rPr>
        <w:endnoteRef/>
      </w:r>
      <w:r>
        <w:t xml:space="preserve">   </w:t>
      </w:r>
      <w:r w:rsidRPr="00A56BA9">
        <w:rPr>
          <w:sz w:val="18"/>
          <w:szCs w:val="18"/>
        </w:rPr>
        <w:t xml:space="preserve">Procurement authority is vested in the Commission pursuant to § 13(c) (2) of the Residential Real Property Seller Disclosure, Funeral Services Date Charge, and </w:t>
      </w:r>
      <w:proofErr w:type="gramStart"/>
      <w:r w:rsidRPr="00A56BA9">
        <w:rPr>
          <w:sz w:val="18"/>
          <w:szCs w:val="18"/>
        </w:rPr>
        <w:t>Public</w:t>
      </w:r>
      <w:proofErr w:type="gramEnd"/>
      <w:r w:rsidRPr="00A56BA9">
        <w:rPr>
          <w:sz w:val="18"/>
          <w:szCs w:val="18"/>
        </w:rPr>
        <w:t xml:space="preserve"> service Commission Independent Procurement Authority Act of 1998 (D.C. Law 12-263).  The Commission is statutorily exempt from the D.C. procurement rules as set forth in D.C. Official Code § 1-1181 et seq.</w:t>
      </w:r>
      <w:r>
        <w:t xml:space="preserve">  </w:t>
      </w:r>
    </w:p>
    <w:p w14:paraId="7A225286" w14:textId="77777777" w:rsidR="00A56BA9" w:rsidRDefault="00A56BA9">
      <w:pPr>
        <w:pStyle w:val="EndnoteText"/>
      </w:pPr>
    </w:p>
    <w:p w14:paraId="11C4CEED" w14:textId="77777777" w:rsidR="00A56BA9" w:rsidRDefault="00A56BA9">
      <w:pPr>
        <w:pStyle w:val="EndnoteText"/>
        <w:rPr>
          <w:sz w:val="18"/>
          <w:szCs w:val="18"/>
        </w:rPr>
      </w:pPr>
      <w:r>
        <w:t xml:space="preserve">D.C. Code </w:t>
      </w:r>
      <w:r w:rsidRPr="00A56BA9">
        <w:rPr>
          <w:sz w:val="18"/>
          <w:szCs w:val="18"/>
        </w:rPr>
        <w:t>§</w:t>
      </w:r>
      <w:r>
        <w:rPr>
          <w:sz w:val="18"/>
          <w:szCs w:val="18"/>
        </w:rPr>
        <w:t xml:space="preserve"> 34-804, hereby established within the Public Service Commission of the District of Columbia, as established by D.C. Code </w:t>
      </w:r>
      <w:r w:rsidRPr="00A56BA9">
        <w:rPr>
          <w:sz w:val="18"/>
          <w:szCs w:val="18"/>
        </w:rPr>
        <w:t>§</w:t>
      </w:r>
      <w:r>
        <w:rPr>
          <w:sz w:val="18"/>
          <w:szCs w:val="18"/>
        </w:rPr>
        <w:t xml:space="preserve"> 34-801, as Office to be known as the “Office of the People’s Counsel.”  The Office shall be a party, as of right, in any investigation, valuation, revaluation, or proceeding of any nature by the Public Service Commission of or concerning a public utility operating in the District of Columbia.  </w:t>
      </w:r>
    </w:p>
    <w:p w14:paraId="46431178" w14:textId="77777777" w:rsidR="00A56BA9" w:rsidRDefault="00A56BA9">
      <w:pPr>
        <w:pStyle w:val="EndnoteText"/>
        <w:rPr>
          <w:sz w:val="18"/>
          <w:szCs w:val="18"/>
        </w:rPr>
      </w:pPr>
    </w:p>
    <w:p w14:paraId="16020B5A" w14:textId="77777777" w:rsidR="00A56BA9" w:rsidRDefault="00A56BA9">
      <w:pPr>
        <w:pStyle w:val="EndnoteText"/>
      </w:pPr>
      <w:r>
        <w:rPr>
          <w:sz w:val="18"/>
          <w:szCs w:val="18"/>
        </w:rPr>
        <w:t xml:space="preserve">15 D.C.M.R. </w:t>
      </w:r>
      <w:r w:rsidRPr="00A56BA9">
        <w:rPr>
          <w:sz w:val="18"/>
          <w:szCs w:val="18"/>
        </w:rPr>
        <w:t>§</w:t>
      </w:r>
      <w:r>
        <w:rPr>
          <w:sz w:val="18"/>
          <w:szCs w:val="18"/>
        </w:rPr>
        <w:t xml:space="preserve"> 3700: Public Utilities and Cable Television – Public Service Commission Rules of Practice and Procedure.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348D" w14:textId="77777777" w:rsidR="00163067" w:rsidRDefault="00163067" w:rsidP="00A56BA9">
      <w:pPr>
        <w:spacing w:after="0" w:line="240" w:lineRule="auto"/>
      </w:pPr>
      <w:r>
        <w:separator/>
      </w:r>
    </w:p>
  </w:footnote>
  <w:footnote w:type="continuationSeparator" w:id="0">
    <w:p w14:paraId="382A1206" w14:textId="77777777" w:rsidR="00163067" w:rsidRDefault="00163067" w:rsidP="00A56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2C0C7"/>
    <w:multiLevelType w:val="hybridMultilevel"/>
    <w:tmpl w:val="65F2BA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C85BD0"/>
    <w:multiLevelType w:val="hybridMultilevel"/>
    <w:tmpl w:val="F37C5A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850514"/>
    <w:multiLevelType w:val="hybridMultilevel"/>
    <w:tmpl w:val="E96C5BAA"/>
    <w:lvl w:ilvl="0" w:tplc="78FCC4E8">
      <w:start w:val="1"/>
      <w:numFmt w:val="bullet"/>
      <w:lvlText w:val=""/>
      <w:lvlJc w:val="left"/>
      <w:pPr>
        <w:ind w:left="2640" w:hanging="360"/>
      </w:pPr>
      <w:rPr>
        <w:rFonts w:ascii="Symbol" w:eastAsiaTheme="minorHAnsi" w:hAnsi="Symbol"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15:restartNumberingAfterBreak="0">
    <w:nsid w:val="0D1E7359"/>
    <w:multiLevelType w:val="hybridMultilevel"/>
    <w:tmpl w:val="D062C3E4"/>
    <w:lvl w:ilvl="0" w:tplc="FFFFFFFF">
      <w:start w:val="1"/>
      <w:numFmt w:val="bullet"/>
      <w:lvlText w:val=""/>
      <w:lvlJc w:val="left"/>
      <w:pPr>
        <w:ind w:left="1080" w:hanging="360"/>
      </w:pPr>
      <w:rPr>
        <w:rFonts w:ascii="Symbol" w:eastAsiaTheme="minorHAnsi" w:hAnsi="Symbol" w:cs="Times New Roman" w:hint="default"/>
      </w:rPr>
    </w:lvl>
    <w:lvl w:ilvl="1" w:tplc="78FCC4E8">
      <w:start w:val="1"/>
      <w:numFmt w:val="bullet"/>
      <w:lvlText w:val=""/>
      <w:lvlJc w:val="left"/>
      <w:pPr>
        <w:ind w:left="1800" w:hanging="360"/>
      </w:pPr>
      <w:rPr>
        <w:rFonts w:ascii="Symbol" w:eastAsiaTheme="minorHAnsi" w:hAnsi="Symbol" w:cs="Times New Roman" w:hint="default"/>
      </w:rPr>
    </w:lvl>
    <w:lvl w:ilvl="2" w:tplc="FFFFFFFF">
      <w:start w:val="1"/>
      <w:numFmt w:val="bullet"/>
      <w:lvlText w:val=""/>
      <w:lvlJc w:val="left"/>
      <w:pPr>
        <w:ind w:left="2520" w:hanging="360"/>
      </w:pPr>
      <w:rPr>
        <w:rFonts w:ascii="Symbol" w:eastAsiaTheme="minorHAnsi" w:hAnsi="Symbol"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1A55679"/>
    <w:multiLevelType w:val="hybridMultilevel"/>
    <w:tmpl w:val="E9029AFA"/>
    <w:lvl w:ilvl="0" w:tplc="FFF639AC">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EC1105"/>
    <w:multiLevelType w:val="hybridMultilevel"/>
    <w:tmpl w:val="4AFC197C"/>
    <w:lvl w:ilvl="0" w:tplc="78FCC4E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4204D"/>
    <w:multiLevelType w:val="hybridMultilevel"/>
    <w:tmpl w:val="BF0E184E"/>
    <w:lvl w:ilvl="0" w:tplc="78FCC4E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53E5C"/>
    <w:multiLevelType w:val="hybridMultilevel"/>
    <w:tmpl w:val="00CC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968F3"/>
    <w:multiLevelType w:val="hybridMultilevel"/>
    <w:tmpl w:val="242028FC"/>
    <w:lvl w:ilvl="0" w:tplc="78FCC4E8">
      <w:start w:val="1"/>
      <w:numFmt w:val="bullet"/>
      <w:lvlText w:val=""/>
      <w:lvlJc w:val="left"/>
      <w:pPr>
        <w:ind w:left="1080" w:hanging="360"/>
      </w:pPr>
      <w:rPr>
        <w:rFonts w:ascii="Symbol" w:eastAsiaTheme="minorHAnsi" w:hAnsi="Symbol" w:cs="Times New Roman" w:hint="default"/>
      </w:rPr>
    </w:lvl>
    <w:lvl w:ilvl="1" w:tplc="78FCC4E8">
      <w:start w:val="1"/>
      <w:numFmt w:val="bullet"/>
      <w:lvlText w:val=""/>
      <w:lvlJc w:val="left"/>
      <w:pPr>
        <w:ind w:left="1800" w:hanging="360"/>
      </w:pPr>
      <w:rPr>
        <w:rFonts w:ascii="Symbol" w:eastAsiaTheme="minorHAnsi" w:hAnsi="Symbol" w:cs="Times New Roman" w:hint="default"/>
      </w:rPr>
    </w:lvl>
    <w:lvl w:ilvl="2" w:tplc="78FCC4E8">
      <w:start w:val="1"/>
      <w:numFmt w:val="bullet"/>
      <w:lvlText w:val=""/>
      <w:lvlJc w:val="left"/>
      <w:pPr>
        <w:ind w:left="2520" w:hanging="360"/>
      </w:pPr>
      <w:rPr>
        <w:rFonts w:ascii="Symbol" w:eastAsiaTheme="minorHAnsi"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CE6561"/>
    <w:multiLevelType w:val="hybridMultilevel"/>
    <w:tmpl w:val="211453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1"/>
  </w:num>
  <w:num w:numId="6">
    <w:abstractNumId w:val="7"/>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63"/>
    <w:rsid w:val="000762EA"/>
    <w:rsid w:val="000B2C34"/>
    <w:rsid w:val="001459BC"/>
    <w:rsid w:val="00163067"/>
    <w:rsid w:val="00166B06"/>
    <w:rsid w:val="00185433"/>
    <w:rsid w:val="00191052"/>
    <w:rsid w:val="002154D7"/>
    <w:rsid w:val="00276A1E"/>
    <w:rsid w:val="002A3FE4"/>
    <w:rsid w:val="002B7E1B"/>
    <w:rsid w:val="00350BE0"/>
    <w:rsid w:val="003B157C"/>
    <w:rsid w:val="003C006C"/>
    <w:rsid w:val="003C6794"/>
    <w:rsid w:val="003C7C0F"/>
    <w:rsid w:val="004411DB"/>
    <w:rsid w:val="00474D04"/>
    <w:rsid w:val="004920DE"/>
    <w:rsid w:val="004F4ACA"/>
    <w:rsid w:val="00535ED7"/>
    <w:rsid w:val="005509CE"/>
    <w:rsid w:val="0056363A"/>
    <w:rsid w:val="00584543"/>
    <w:rsid w:val="005D0298"/>
    <w:rsid w:val="006252E7"/>
    <w:rsid w:val="00652232"/>
    <w:rsid w:val="00656471"/>
    <w:rsid w:val="006662DB"/>
    <w:rsid w:val="006C0A9B"/>
    <w:rsid w:val="006E46E1"/>
    <w:rsid w:val="00721D0B"/>
    <w:rsid w:val="0073747E"/>
    <w:rsid w:val="0085524E"/>
    <w:rsid w:val="00917BC8"/>
    <w:rsid w:val="00976263"/>
    <w:rsid w:val="009C25C5"/>
    <w:rsid w:val="009C3F5A"/>
    <w:rsid w:val="00A07D36"/>
    <w:rsid w:val="00A46EA6"/>
    <w:rsid w:val="00A56BA9"/>
    <w:rsid w:val="00AA47E5"/>
    <w:rsid w:val="00B457C3"/>
    <w:rsid w:val="00BD0C1C"/>
    <w:rsid w:val="00BF07FD"/>
    <w:rsid w:val="00C169E7"/>
    <w:rsid w:val="00C3389C"/>
    <w:rsid w:val="00CC1CB9"/>
    <w:rsid w:val="00D34F81"/>
    <w:rsid w:val="00D40367"/>
    <w:rsid w:val="00D934F9"/>
    <w:rsid w:val="00DF4629"/>
    <w:rsid w:val="00DF62F9"/>
    <w:rsid w:val="00E35977"/>
    <w:rsid w:val="00E73B97"/>
    <w:rsid w:val="00E76619"/>
    <w:rsid w:val="00F033B3"/>
    <w:rsid w:val="00F13BC2"/>
    <w:rsid w:val="00F5225C"/>
    <w:rsid w:val="00F65388"/>
    <w:rsid w:val="00FA17A4"/>
    <w:rsid w:val="00FA6977"/>
    <w:rsid w:val="00FF329F"/>
    <w:rsid w:val="04FEE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47E6"/>
  <w15:docId w15:val="{832B0941-32B6-4C97-88CC-47EEB6D0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63"/>
    <w:pPr>
      <w:ind w:left="720"/>
      <w:contextualSpacing/>
    </w:pPr>
  </w:style>
  <w:style w:type="paragraph" w:customStyle="1" w:styleId="Default">
    <w:name w:val="Default"/>
    <w:rsid w:val="002A3FE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A56B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BA9"/>
    <w:rPr>
      <w:sz w:val="20"/>
      <w:szCs w:val="20"/>
    </w:rPr>
  </w:style>
  <w:style w:type="character" w:styleId="FootnoteReference">
    <w:name w:val="footnote reference"/>
    <w:basedOn w:val="DefaultParagraphFont"/>
    <w:uiPriority w:val="99"/>
    <w:semiHidden/>
    <w:unhideWhenUsed/>
    <w:rsid w:val="00A56BA9"/>
    <w:rPr>
      <w:vertAlign w:val="superscript"/>
    </w:rPr>
  </w:style>
  <w:style w:type="paragraph" w:styleId="EndnoteText">
    <w:name w:val="endnote text"/>
    <w:basedOn w:val="Normal"/>
    <w:link w:val="EndnoteTextChar"/>
    <w:uiPriority w:val="99"/>
    <w:semiHidden/>
    <w:unhideWhenUsed/>
    <w:rsid w:val="00A56B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6BA9"/>
    <w:rPr>
      <w:sz w:val="20"/>
      <w:szCs w:val="20"/>
    </w:rPr>
  </w:style>
  <w:style w:type="character" w:styleId="EndnoteReference">
    <w:name w:val="endnote reference"/>
    <w:basedOn w:val="DefaultParagraphFont"/>
    <w:uiPriority w:val="99"/>
    <w:semiHidden/>
    <w:unhideWhenUsed/>
    <w:rsid w:val="00A56BA9"/>
    <w:rPr>
      <w:vertAlign w:val="superscript"/>
    </w:rPr>
  </w:style>
  <w:style w:type="paragraph" w:styleId="BalloonText">
    <w:name w:val="Balloon Text"/>
    <w:basedOn w:val="Normal"/>
    <w:link w:val="BalloonTextChar"/>
    <w:uiPriority w:val="99"/>
    <w:semiHidden/>
    <w:unhideWhenUsed/>
    <w:rsid w:val="00C33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89C"/>
    <w:rPr>
      <w:rFonts w:ascii="Tahoma" w:hAnsi="Tahoma" w:cs="Tahoma"/>
      <w:sz w:val="16"/>
      <w:szCs w:val="16"/>
    </w:rPr>
  </w:style>
  <w:style w:type="paragraph" w:styleId="NoSpacing">
    <w:name w:val="No Spacing"/>
    <w:uiPriority w:val="1"/>
    <w:qFormat/>
    <w:rsid w:val="005845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4D3E5-11C4-435F-99BE-C6DB60B7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867</Words>
  <Characters>5151</Characters>
  <Application>Microsoft Office Word</Application>
  <DocSecurity>4</DocSecurity>
  <Lines>114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gargr</dc:creator>
  <cp:lastModifiedBy>Naunihal Sigh Gumer</cp:lastModifiedBy>
  <cp:revision>2</cp:revision>
  <dcterms:created xsi:type="dcterms:W3CDTF">2023-09-01T15:30:00Z</dcterms:created>
  <dcterms:modified xsi:type="dcterms:W3CDTF">2023-09-01T15:30:00Z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0756b9c7504aff2f85e9276e5653bc0ebed63a7faa329a257ced0f0e719c33a2</vt:lpwstr>
  </property>
</Properties>
</file>